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40D924" w14:textId="40DE1CCB" w:rsidR="009A0919" w:rsidRPr="00846D22" w:rsidRDefault="0029375A" w:rsidP="009A0919">
      <w:pPr>
        <w:pStyle w:val="FootnoteText"/>
        <w:jc w:val="center"/>
        <w:rPr>
          <w:rFonts w:asciiTheme="minorHAnsi" w:hAnsiTheme="minorHAnsi" w:cstheme="minorHAnsi"/>
          <w:b/>
          <w:sz w:val="28"/>
          <w:szCs w:val="32"/>
          <w:lang w:eastAsia="ar-SA"/>
        </w:rPr>
      </w:pPr>
      <w:bookmarkStart w:id="0" w:name="_Toc378091729"/>
      <w:bookmarkStart w:id="1" w:name="_GoBack"/>
      <w:bookmarkEnd w:id="1"/>
      <w:r>
        <w:rPr>
          <w:rFonts w:asciiTheme="minorHAnsi" w:hAnsiTheme="minorHAnsi" w:cstheme="minorHAnsi"/>
          <w:b/>
          <w:sz w:val="28"/>
          <w:szCs w:val="32"/>
          <w:lang w:eastAsia="ar-SA"/>
        </w:rPr>
        <w:t xml:space="preserve">ACER </w:t>
      </w:r>
      <w:r w:rsidR="003A7DC1" w:rsidRPr="003A7DC1">
        <w:rPr>
          <w:rFonts w:asciiTheme="minorHAnsi" w:hAnsiTheme="minorHAnsi" w:cstheme="minorHAnsi"/>
          <w:b/>
          <w:sz w:val="28"/>
          <w:szCs w:val="32"/>
          <w:lang w:eastAsia="ar-SA"/>
        </w:rPr>
        <w:t xml:space="preserve">Decision on the </w:t>
      </w:r>
      <w:r w:rsidR="00030E75" w:rsidRPr="00030E75">
        <w:rPr>
          <w:rFonts w:asciiTheme="minorHAnsi" w:hAnsiTheme="minorHAnsi" w:cstheme="minorHAnsi"/>
          <w:b/>
          <w:sz w:val="28"/>
          <w:szCs w:val="32"/>
          <w:lang w:eastAsia="ar-SA"/>
        </w:rPr>
        <w:t>imbalance settlement harmonisation methodology</w:t>
      </w:r>
      <w:r w:rsidR="009A0919" w:rsidRPr="00846D22">
        <w:rPr>
          <w:rFonts w:asciiTheme="minorHAnsi" w:hAnsiTheme="minorHAnsi" w:cstheme="minorHAnsi"/>
          <w:b/>
          <w:sz w:val="28"/>
          <w:szCs w:val="32"/>
          <w:lang w:eastAsia="ar-SA"/>
        </w:rPr>
        <w:t>: Annex I</w:t>
      </w:r>
    </w:p>
    <w:p w14:paraId="3240D925" w14:textId="77777777" w:rsidR="009A0919" w:rsidRPr="00846D22" w:rsidRDefault="009A0919" w:rsidP="009A0919">
      <w:pPr>
        <w:suppressAutoHyphens/>
        <w:spacing w:after="300" w:line="100" w:lineRule="atLeast"/>
        <w:rPr>
          <w:rFonts w:asciiTheme="minorHAnsi" w:hAnsiTheme="minorHAnsi" w:cstheme="minorHAnsi"/>
          <w:bCs/>
          <w:color w:val="002060"/>
          <w:spacing w:val="5"/>
          <w:kern w:val="1"/>
          <w:sz w:val="48"/>
          <w:szCs w:val="48"/>
          <w:lang w:eastAsia="ar-SA"/>
        </w:rPr>
      </w:pPr>
    </w:p>
    <w:p w14:paraId="3240D926" w14:textId="77777777" w:rsidR="009A0919" w:rsidRPr="00846D22" w:rsidRDefault="009A0919" w:rsidP="009A0919">
      <w:pPr>
        <w:suppressAutoHyphens/>
        <w:spacing w:after="300" w:line="100" w:lineRule="atLeast"/>
        <w:rPr>
          <w:rFonts w:asciiTheme="minorHAnsi" w:hAnsiTheme="minorHAnsi" w:cstheme="minorHAnsi"/>
          <w:bCs/>
          <w:color w:val="002060"/>
          <w:spacing w:val="5"/>
          <w:kern w:val="1"/>
          <w:sz w:val="48"/>
          <w:szCs w:val="48"/>
          <w:lang w:eastAsia="ar-SA"/>
        </w:rPr>
      </w:pPr>
    </w:p>
    <w:p w14:paraId="3240D927" w14:textId="77777777" w:rsidR="009A0919" w:rsidRPr="00846D22" w:rsidRDefault="009A0919" w:rsidP="009A0919">
      <w:pPr>
        <w:suppressAutoHyphens/>
        <w:spacing w:after="300" w:line="100" w:lineRule="atLeast"/>
        <w:rPr>
          <w:rFonts w:asciiTheme="minorHAnsi" w:hAnsiTheme="minorHAnsi" w:cstheme="minorHAnsi"/>
          <w:bCs/>
          <w:color w:val="002060"/>
          <w:spacing w:val="5"/>
          <w:kern w:val="1"/>
          <w:sz w:val="48"/>
          <w:szCs w:val="48"/>
          <w:lang w:eastAsia="ar-SA"/>
        </w:rPr>
      </w:pPr>
    </w:p>
    <w:p w14:paraId="3240D928" w14:textId="77777777" w:rsidR="009A0919" w:rsidRPr="00846D22" w:rsidRDefault="009A0919" w:rsidP="009A0919">
      <w:pPr>
        <w:suppressAutoHyphens/>
        <w:spacing w:after="300" w:line="100" w:lineRule="atLeast"/>
        <w:rPr>
          <w:rFonts w:asciiTheme="minorHAnsi" w:hAnsiTheme="minorHAnsi" w:cstheme="minorHAnsi"/>
          <w:bCs/>
          <w:color w:val="002060"/>
          <w:spacing w:val="5"/>
          <w:kern w:val="1"/>
          <w:sz w:val="48"/>
          <w:szCs w:val="48"/>
          <w:lang w:eastAsia="ar-SA"/>
        </w:rPr>
      </w:pPr>
    </w:p>
    <w:p w14:paraId="3240D929" w14:textId="55A9842D" w:rsidR="009A0919" w:rsidRPr="00846D22" w:rsidRDefault="00030E75" w:rsidP="009A0919">
      <w:pPr>
        <w:suppressAutoHyphens/>
        <w:spacing w:after="300" w:line="100" w:lineRule="atLeast"/>
        <w:jc w:val="center"/>
        <w:rPr>
          <w:rFonts w:asciiTheme="minorHAnsi" w:hAnsiTheme="minorHAnsi" w:cstheme="minorHAnsi"/>
          <w:b/>
          <w:spacing w:val="5"/>
          <w:kern w:val="1"/>
          <w:sz w:val="48"/>
          <w:szCs w:val="48"/>
          <w:lang w:eastAsia="ar-SA"/>
        </w:rPr>
      </w:pPr>
      <w:r>
        <w:rPr>
          <w:rFonts w:asciiTheme="minorHAnsi" w:hAnsiTheme="minorHAnsi" w:cstheme="minorHAnsi"/>
          <w:b/>
          <w:sz w:val="48"/>
          <w:szCs w:val="48"/>
        </w:rPr>
        <w:t xml:space="preserve">Methodology for the harmonisation of the main features of imbalance settlement </w:t>
      </w:r>
    </w:p>
    <w:p w14:paraId="3240D92A" w14:textId="37A762A8" w:rsidR="009A0919" w:rsidRPr="00846D22" w:rsidRDefault="00030E75" w:rsidP="009A0919">
      <w:pPr>
        <w:suppressAutoHyphens/>
        <w:spacing w:after="300" w:line="100" w:lineRule="atLeast"/>
        <w:jc w:val="center"/>
        <w:rPr>
          <w:rFonts w:asciiTheme="minorHAnsi" w:hAnsiTheme="minorHAnsi" w:cstheme="minorHAnsi"/>
          <w:color w:val="002060"/>
          <w:spacing w:val="5"/>
          <w:kern w:val="1"/>
          <w:sz w:val="36"/>
          <w:szCs w:val="36"/>
          <w:lang w:eastAsia="ar-SA"/>
        </w:rPr>
      </w:pPr>
      <w:r>
        <w:rPr>
          <w:rFonts w:asciiTheme="minorHAnsi" w:hAnsiTheme="minorHAnsi" w:cstheme="minorHAnsi"/>
          <w:sz w:val="32"/>
          <w:szCs w:val="32"/>
        </w:rPr>
        <w:t>in accordance with Article 52(2)</w:t>
      </w:r>
      <w:r w:rsidR="009A0919" w:rsidRPr="00846D22">
        <w:rPr>
          <w:rFonts w:asciiTheme="minorHAnsi" w:hAnsiTheme="minorHAnsi" w:cstheme="minorHAnsi"/>
          <w:sz w:val="32"/>
          <w:szCs w:val="32"/>
        </w:rPr>
        <w:t xml:space="preserve"> of Commission Regulation (EU) 2017/</w:t>
      </w:r>
      <w:r w:rsidR="0029375A">
        <w:rPr>
          <w:rFonts w:asciiTheme="minorHAnsi" w:hAnsiTheme="minorHAnsi" w:cstheme="minorHAnsi"/>
          <w:sz w:val="32"/>
          <w:szCs w:val="32"/>
        </w:rPr>
        <w:t>2195</w:t>
      </w:r>
      <w:r w:rsidR="009A0919" w:rsidRPr="00846D22">
        <w:rPr>
          <w:rFonts w:asciiTheme="minorHAnsi" w:hAnsiTheme="minorHAnsi" w:cstheme="minorHAnsi"/>
          <w:sz w:val="32"/>
          <w:szCs w:val="32"/>
        </w:rPr>
        <w:t xml:space="preserve"> of 2</w:t>
      </w:r>
      <w:r w:rsidR="0029375A">
        <w:rPr>
          <w:rFonts w:asciiTheme="minorHAnsi" w:hAnsiTheme="minorHAnsi" w:cstheme="minorHAnsi"/>
          <w:sz w:val="32"/>
          <w:szCs w:val="32"/>
        </w:rPr>
        <w:t>3</w:t>
      </w:r>
      <w:r w:rsidR="009A0919" w:rsidRPr="00846D22">
        <w:rPr>
          <w:rFonts w:asciiTheme="minorHAnsi" w:hAnsiTheme="minorHAnsi" w:cstheme="minorHAnsi"/>
          <w:sz w:val="32"/>
          <w:szCs w:val="32"/>
        </w:rPr>
        <w:t xml:space="preserve"> </w:t>
      </w:r>
      <w:r w:rsidR="0029375A">
        <w:rPr>
          <w:rFonts w:asciiTheme="minorHAnsi" w:hAnsiTheme="minorHAnsi" w:cstheme="minorHAnsi"/>
          <w:sz w:val="32"/>
          <w:szCs w:val="32"/>
        </w:rPr>
        <w:t>November</w:t>
      </w:r>
      <w:r w:rsidR="009A0919" w:rsidRPr="00846D22">
        <w:rPr>
          <w:rFonts w:asciiTheme="minorHAnsi" w:hAnsiTheme="minorHAnsi" w:cstheme="minorHAnsi"/>
          <w:sz w:val="32"/>
          <w:szCs w:val="32"/>
        </w:rPr>
        <w:t xml:space="preserve"> 2017 establishing a guideline on electricity </w:t>
      </w:r>
      <w:r w:rsidR="0029375A">
        <w:rPr>
          <w:rFonts w:asciiTheme="minorHAnsi" w:hAnsiTheme="minorHAnsi" w:cstheme="minorHAnsi"/>
          <w:sz w:val="32"/>
          <w:szCs w:val="32"/>
        </w:rPr>
        <w:t>balancing</w:t>
      </w:r>
    </w:p>
    <w:p w14:paraId="3240D92B" w14:textId="77777777" w:rsidR="009A0919" w:rsidRPr="00846D22" w:rsidRDefault="009A0919" w:rsidP="009A0919">
      <w:pPr>
        <w:suppressAutoHyphens/>
        <w:spacing w:line="100" w:lineRule="atLeast"/>
        <w:jc w:val="center"/>
        <w:rPr>
          <w:rFonts w:asciiTheme="minorHAnsi" w:hAnsiTheme="minorHAnsi" w:cstheme="minorHAnsi"/>
          <w:color w:val="002060"/>
          <w:spacing w:val="5"/>
          <w:kern w:val="1"/>
          <w:sz w:val="36"/>
          <w:szCs w:val="36"/>
          <w:lang w:eastAsia="ar-SA"/>
        </w:rPr>
      </w:pPr>
    </w:p>
    <w:p w14:paraId="3240D92C" w14:textId="77777777" w:rsidR="009A0919" w:rsidRPr="00846D22" w:rsidRDefault="009A0919" w:rsidP="009A0919">
      <w:pPr>
        <w:spacing w:line="276" w:lineRule="auto"/>
        <w:jc w:val="center"/>
        <w:rPr>
          <w:rFonts w:asciiTheme="minorHAnsi" w:hAnsiTheme="minorHAnsi" w:cstheme="minorHAnsi"/>
          <w:color w:val="002060"/>
          <w:szCs w:val="20"/>
        </w:rPr>
      </w:pPr>
    </w:p>
    <w:p w14:paraId="3240D92D" w14:textId="77777777" w:rsidR="009A0919" w:rsidRPr="00846D22" w:rsidRDefault="009A0919" w:rsidP="009A0919">
      <w:pPr>
        <w:spacing w:line="276" w:lineRule="auto"/>
        <w:jc w:val="center"/>
        <w:rPr>
          <w:rFonts w:asciiTheme="minorHAnsi" w:hAnsiTheme="minorHAnsi" w:cstheme="minorHAnsi"/>
          <w:color w:val="002060"/>
          <w:szCs w:val="20"/>
        </w:rPr>
      </w:pPr>
    </w:p>
    <w:p w14:paraId="3240D92E" w14:textId="77777777" w:rsidR="009A0919" w:rsidRPr="00846D22" w:rsidRDefault="009A0919" w:rsidP="009A0919">
      <w:pPr>
        <w:spacing w:line="276" w:lineRule="auto"/>
        <w:jc w:val="center"/>
        <w:rPr>
          <w:rFonts w:asciiTheme="minorHAnsi" w:hAnsiTheme="minorHAnsi" w:cstheme="minorHAnsi"/>
          <w:color w:val="002060"/>
          <w:szCs w:val="20"/>
        </w:rPr>
      </w:pPr>
    </w:p>
    <w:p w14:paraId="3240D92F" w14:textId="77777777" w:rsidR="009A0919" w:rsidRPr="00846D22" w:rsidRDefault="009A0919" w:rsidP="009A0919">
      <w:pPr>
        <w:spacing w:line="276" w:lineRule="auto"/>
        <w:jc w:val="center"/>
        <w:rPr>
          <w:rFonts w:asciiTheme="minorHAnsi" w:hAnsiTheme="minorHAnsi" w:cstheme="minorHAnsi"/>
          <w:color w:val="002060"/>
          <w:szCs w:val="20"/>
        </w:rPr>
      </w:pPr>
    </w:p>
    <w:p w14:paraId="3240D930" w14:textId="77777777" w:rsidR="009A0919" w:rsidRPr="00846D22" w:rsidRDefault="009A0919" w:rsidP="009A0919">
      <w:pPr>
        <w:spacing w:line="276" w:lineRule="auto"/>
        <w:jc w:val="center"/>
        <w:rPr>
          <w:rFonts w:asciiTheme="minorHAnsi" w:hAnsiTheme="minorHAnsi" w:cstheme="minorHAnsi"/>
          <w:color w:val="002060"/>
          <w:szCs w:val="20"/>
        </w:rPr>
      </w:pPr>
    </w:p>
    <w:p w14:paraId="3240D931" w14:textId="0F721B05" w:rsidR="009A0919" w:rsidRPr="00846D22" w:rsidRDefault="00030E75" w:rsidP="009A0919">
      <w:pPr>
        <w:jc w:val="center"/>
        <w:rPr>
          <w:rFonts w:asciiTheme="minorHAnsi" w:hAnsiTheme="minorHAnsi" w:cstheme="minorHAnsi"/>
          <w:b/>
          <w:spacing w:val="5"/>
          <w:kern w:val="1"/>
          <w:sz w:val="32"/>
          <w:szCs w:val="48"/>
          <w:lang w:eastAsia="ar-SA"/>
        </w:rPr>
      </w:pPr>
      <w:r w:rsidRPr="00030E75">
        <w:rPr>
          <w:rFonts w:asciiTheme="minorHAnsi" w:hAnsiTheme="minorHAnsi" w:cstheme="minorHAnsi"/>
          <w:b/>
          <w:spacing w:val="5"/>
          <w:kern w:val="1"/>
          <w:sz w:val="32"/>
          <w:szCs w:val="48"/>
          <w:highlight w:val="yellow"/>
          <w:lang w:eastAsia="ar-SA"/>
        </w:rPr>
        <w:t>xx</w:t>
      </w:r>
      <w:r w:rsidR="00413E76" w:rsidRPr="00030E75">
        <w:rPr>
          <w:rFonts w:asciiTheme="minorHAnsi" w:hAnsiTheme="minorHAnsi" w:cstheme="minorHAnsi"/>
          <w:b/>
          <w:spacing w:val="5"/>
          <w:kern w:val="1"/>
          <w:sz w:val="32"/>
          <w:szCs w:val="48"/>
          <w:highlight w:val="yellow"/>
          <w:lang w:eastAsia="ar-SA"/>
        </w:rPr>
        <w:t xml:space="preserve"> </w:t>
      </w:r>
      <w:r w:rsidRPr="00030E75">
        <w:rPr>
          <w:rFonts w:asciiTheme="minorHAnsi" w:hAnsiTheme="minorHAnsi" w:cstheme="minorHAnsi"/>
          <w:b/>
          <w:spacing w:val="5"/>
          <w:kern w:val="1"/>
          <w:sz w:val="32"/>
          <w:szCs w:val="48"/>
          <w:highlight w:val="yellow"/>
          <w:lang w:eastAsia="ar-SA"/>
        </w:rPr>
        <w:t>June</w:t>
      </w:r>
      <w:r w:rsidR="0029375A" w:rsidRPr="00030E75">
        <w:rPr>
          <w:rFonts w:asciiTheme="minorHAnsi" w:hAnsiTheme="minorHAnsi" w:cstheme="minorHAnsi"/>
          <w:b/>
          <w:spacing w:val="5"/>
          <w:kern w:val="1"/>
          <w:sz w:val="32"/>
          <w:szCs w:val="48"/>
          <w:highlight w:val="yellow"/>
          <w:lang w:eastAsia="ar-SA"/>
        </w:rPr>
        <w:t xml:space="preserve"> 2020</w:t>
      </w:r>
    </w:p>
    <w:p w14:paraId="3240D932" w14:textId="77777777" w:rsidR="009A0919" w:rsidRPr="004D6A3F" w:rsidRDefault="009A0919" w:rsidP="009A0919">
      <w:pPr>
        <w:rPr>
          <w:rFonts w:ascii="Times New Roman" w:hAnsi="Times New Roman"/>
          <w:szCs w:val="22"/>
          <w:lang w:eastAsia="en-US"/>
        </w:rPr>
      </w:pPr>
      <w:r w:rsidRPr="009A0919">
        <w:rPr>
          <w:rFonts w:ascii="Times New Roman" w:hAnsi="Times New Roman"/>
          <w:szCs w:val="22"/>
          <w:lang w:eastAsia="en-US"/>
        </w:rPr>
        <w:t xml:space="preserve"> </w:t>
      </w:r>
      <w:r w:rsidRPr="004D6A3F">
        <w:rPr>
          <w:rFonts w:ascii="Times New Roman" w:hAnsi="Times New Roman"/>
          <w:szCs w:val="22"/>
          <w:lang w:eastAsia="en-US"/>
        </w:rPr>
        <w:br w:type="page"/>
      </w:r>
    </w:p>
    <w:p w14:paraId="3240D933" w14:textId="77777777" w:rsidR="00F5771D" w:rsidRDefault="009A0919" w:rsidP="00606A79">
      <w:pPr>
        <w:spacing w:line="288" w:lineRule="auto"/>
        <w:jc w:val="both"/>
        <w:rPr>
          <w:rFonts w:ascii="Times New Roman" w:hAnsi="Times New Roman"/>
          <w:sz w:val="36"/>
          <w:szCs w:val="36"/>
          <w:lang w:eastAsia="en-US"/>
        </w:rPr>
      </w:pPr>
      <w:r w:rsidRPr="009A0919">
        <w:rPr>
          <w:rFonts w:ascii="Times New Roman" w:hAnsi="Times New Roman"/>
          <w:sz w:val="36"/>
          <w:szCs w:val="36"/>
          <w:lang w:eastAsia="en-US"/>
        </w:rPr>
        <w:lastRenderedPageBreak/>
        <w:t>Contents</w:t>
      </w:r>
    </w:p>
    <w:p w14:paraId="3240D934" w14:textId="77777777" w:rsidR="001A3FC6" w:rsidRPr="009A0919" w:rsidRDefault="001A3FC6" w:rsidP="00606A79">
      <w:pPr>
        <w:spacing w:line="288" w:lineRule="auto"/>
        <w:jc w:val="both"/>
        <w:rPr>
          <w:rFonts w:ascii="Times New Roman" w:hAnsi="Times New Roman"/>
          <w:sz w:val="36"/>
          <w:szCs w:val="36"/>
          <w:lang w:eastAsia="en-US"/>
        </w:rPr>
      </w:pPr>
    </w:p>
    <w:p w14:paraId="15CCD2D1" w14:textId="77777777" w:rsidR="00987D4D" w:rsidRDefault="00E645FA">
      <w:pPr>
        <w:pStyle w:val="TOC1"/>
        <w:tabs>
          <w:tab w:val="right" w:leader="dot" w:pos="9514"/>
        </w:tabs>
        <w:rPr>
          <w:noProof/>
        </w:rPr>
      </w:pPr>
      <w:r>
        <w:rPr>
          <w:rFonts w:asciiTheme="minorHAnsi" w:hAnsiTheme="minorHAnsi" w:cstheme="minorHAnsi"/>
        </w:rPr>
        <w:t xml:space="preserve">        </w:t>
      </w:r>
      <w:r w:rsidR="009A0919">
        <w:rPr>
          <w:rFonts w:asciiTheme="minorHAnsi" w:hAnsiTheme="minorHAnsi" w:cstheme="minorHAnsi"/>
        </w:rPr>
        <w:fldChar w:fldCharType="begin"/>
      </w:r>
      <w:r w:rsidR="009A0919">
        <w:rPr>
          <w:rFonts w:asciiTheme="minorHAnsi" w:hAnsiTheme="minorHAnsi" w:cstheme="minorHAnsi"/>
        </w:rPr>
        <w:instrText xml:space="preserve"> TOC \o "1-3" \h \z \u </w:instrText>
      </w:r>
      <w:r w:rsidR="009A0919">
        <w:rPr>
          <w:rFonts w:asciiTheme="minorHAnsi" w:hAnsiTheme="minorHAnsi" w:cstheme="minorHAnsi"/>
        </w:rPr>
        <w:fldChar w:fldCharType="separate"/>
      </w:r>
    </w:p>
    <w:p w14:paraId="6DC04B94" w14:textId="6FEF1DB8" w:rsidR="00987D4D" w:rsidRPr="00987D4D" w:rsidRDefault="00373D2B">
      <w:pPr>
        <w:pStyle w:val="TOC1"/>
        <w:tabs>
          <w:tab w:val="right" w:leader="dot" w:pos="9514"/>
        </w:tabs>
        <w:rPr>
          <w:rFonts w:asciiTheme="minorHAnsi" w:eastAsiaTheme="minorEastAsia" w:hAnsiTheme="minorHAnsi" w:cstheme="minorHAnsi"/>
          <w:noProof/>
          <w:szCs w:val="22"/>
          <w:lang w:eastAsia="en-GB"/>
        </w:rPr>
      </w:pPr>
      <w:hyperlink w:anchor="_Toc41647752" w:history="1">
        <w:r w:rsidR="00987D4D" w:rsidRPr="00987D4D">
          <w:rPr>
            <w:rStyle w:val="Hyperlink"/>
            <w:rFonts w:asciiTheme="minorHAnsi" w:hAnsiTheme="minorHAnsi" w:cstheme="minorHAnsi"/>
            <w:b/>
            <w:noProof/>
            <w:lang w:eastAsia="en-US"/>
          </w:rPr>
          <w:t>Whereas</w:t>
        </w:r>
        <w:r w:rsidR="00987D4D" w:rsidRPr="00987D4D">
          <w:rPr>
            <w:rFonts w:asciiTheme="minorHAnsi" w:hAnsiTheme="minorHAnsi" w:cstheme="minorHAnsi"/>
            <w:noProof/>
            <w:webHidden/>
          </w:rPr>
          <w:tab/>
        </w:r>
        <w:r w:rsidR="00987D4D" w:rsidRPr="00987D4D">
          <w:rPr>
            <w:rFonts w:asciiTheme="minorHAnsi" w:hAnsiTheme="minorHAnsi" w:cstheme="minorHAnsi"/>
            <w:noProof/>
            <w:webHidden/>
          </w:rPr>
          <w:fldChar w:fldCharType="begin"/>
        </w:r>
        <w:r w:rsidR="00987D4D" w:rsidRPr="00987D4D">
          <w:rPr>
            <w:rFonts w:asciiTheme="minorHAnsi" w:hAnsiTheme="minorHAnsi" w:cstheme="minorHAnsi"/>
            <w:noProof/>
            <w:webHidden/>
          </w:rPr>
          <w:instrText xml:space="preserve"> PAGEREF _Toc41647752 \h </w:instrText>
        </w:r>
        <w:r w:rsidR="00987D4D" w:rsidRPr="00987D4D">
          <w:rPr>
            <w:rFonts w:asciiTheme="minorHAnsi" w:hAnsiTheme="minorHAnsi" w:cstheme="minorHAnsi"/>
            <w:noProof/>
            <w:webHidden/>
          </w:rPr>
        </w:r>
        <w:r w:rsidR="00987D4D" w:rsidRPr="00987D4D">
          <w:rPr>
            <w:rFonts w:asciiTheme="minorHAnsi" w:hAnsiTheme="minorHAnsi" w:cstheme="minorHAnsi"/>
            <w:noProof/>
            <w:webHidden/>
          </w:rPr>
          <w:fldChar w:fldCharType="separate"/>
        </w:r>
        <w:r w:rsidR="00987D4D" w:rsidRPr="00987D4D">
          <w:rPr>
            <w:rFonts w:asciiTheme="minorHAnsi" w:hAnsiTheme="minorHAnsi" w:cstheme="minorHAnsi"/>
            <w:noProof/>
            <w:webHidden/>
          </w:rPr>
          <w:t>3</w:t>
        </w:r>
        <w:r w:rsidR="00987D4D" w:rsidRPr="00987D4D">
          <w:rPr>
            <w:rFonts w:asciiTheme="minorHAnsi" w:hAnsiTheme="minorHAnsi" w:cstheme="minorHAnsi"/>
            <w:noProof/>
            <w:webHidden/>
          </w:rPr>
          <w:fldChar w:fldCharType="end"/>
        </w:r>
      </w:hyperlink>
    </w:p>
    <w:p w14:paraId="05205AB0" w14:textId="4E943241" w:rsidR="00987D4D" w:rsidRPr="00987D4D" w:rsidRDefault="00373D2B">
      <w:pPr>
        <w:pStyle w:val="TOC3"/>
        <w:rPr>
          <w:rFonts w:asciiTheme="minorHAnsi" w:eastAsiaTheme="minorEastAsia" w:hAnsiTheme="minorHAnsi" w:cstheme="minorHAnsi"/>
          <w:noProof/>
          <w:szCs w:val="22"/>
          <w:lang w:eastAsia="en-GB"/>
        </w:rPr>
      </w:pPr>
      <w:hyperlink w:anchor="_Toc41647753" w:history="1">
        <w:r w:rsidR="00987D4D" w:rsidRPr="00987D4D">
          <w:rPr>
            <w:rStyle w:val="Hyperlink"/>
            <w:rFonts w:asciiTheme="minorHAnsi" w:hAnsiTheme="minorHAnsi" w:cstheme="minorHAnsi"/>
            <w:noProof/>
          </w:rPr>
          <w:t>TITLE I General provisions</w:t>
        </w:r>
        <w:r w:rsidR="00987D4D" w:rsidRPr="00987D4D">
          <w:rPr>
            <w:rFonts w:asciiTheme="minorHAnsi" w:hAnsiTheme="minorHAnsi" w:cstheme="minorHAnsi"/>
            <w:noProof/>
            <w:webHidden/>
          </w:rPr>
          <w:tab/>
        </w:r>
        <w:r w:rsidR="00987D4D" w:rsidRPr="00987D4D">
          <w:rPr>
            <w:rFonts w:asciiTheme="minorHAnsi" w:hAnsiTheme="minorHAnsi" w:cstheme="minorHAnsi"/>
            <w:noProof/>
            <w:webHidden/>
          </w:rPr>
          <w:fldChar w:fldCharType="begin"/>
        </w:r>
        <w:r w:rsidR="00987D4D" w:rsidRPr="00987D4D">
          <w:rPr>
            <w:rFonts w:asciiTheme="minorHAnsi" w:hAnsiTheme="minorHAnsi" w:cstheme="minorHAnsi"/>
            <w:noProof/>
            <w:webHidden/>
          </w:rPr>
          <w:instrText xml:space="preserve"> PAGEREF _Toc41647753 \h </w:instrText>
        </w:r>
        <w:r w:rsidR="00987D4D" w:rsidRPr="00987D4D">
          <w:rPr>
            <w:rFonts w:asciiTheme="minorHAnsi" w:hAnsiTheme="minorHAnsi" w:cstheme="minorHAnsi"/>
            <w:noProof/>
            <w:webHidden/>
          </w:rPr>
        </w:r>
        <w:r w:rsidR="00987D4D" w:rsidRPr="00987D4D">
          <w:rPr>
            <w:rFonts w:asciiTheme="minorHAnsi" w:hAnsiTheme="minorHAnsi" w:cstheme="minorHAnsi"/>
            <w:noProof/>
            <w:webHidden/>
          </w:rPr>
          <w:fldChar w:fldCharType="separate"/>
        </w:r>
        <w:r w:rsidR="00987D4D" w:rsidRPr="00987D4D">
          <w:rPr>
            <w:rFonts w:asciiTheme="minorHAnsi" w:hAnsiTheme="minorHAnsi" w:cstheme="minorHAnsi"/>
            <w:noProof/>
            <w:webHidden/>
          </w:rPr>
          <w:t>6</w:t>
        </w:r>
        <w:r w:rsidR="00987D4D" w:rsidRPr="00987D4D">
          <w:rPr>
            <w:rFonts w:asciiTheme="minorHAnsi" w:hAnsiTheme="minorHAnsi" w:cstheme="minorHAnsi"/>
            <w:noProof/>
            <w:webHidden/>
          </w:rPr>
          <w:fldChar w:fldCharType="end"/>
        </w:r>
      </w:hyperlink>
    </w:p>
    <w:p w14:paraId="4543D765" w14:textId="621234AC" w:rsidR="00987D4D" w:rsidRPr="00987D4D" w:rsidRDefault="00373D2B" w:rsidP="00987D4D">
      <w:pPr>
        <w:pStyle w:val="TOC3"/>
        <w:ind w:left="1687"/>
        <w:rPr>
          <w:rFonts w:asciiTheme="minorHAnsi" w:eastAsiaTheme="minorEastAsia" w:hAnsiTheme="minorHAnsi" w:cstheme="minorHAnsi"/>
          <w:noProof/>
          <w:szCs w:val="22"/>
          <w:lang w:eastAsia="en-GB"/>
        </w:rPr>
      </w:pPr>
      <w:hyperlink w:anchor="_Toc41647754" w:history="1">
        <w:r w:rsidR="00987D4D" w:rsidRPr="00987D4D">
          <w:rPr>
            <w:rStyle w:val="Hyperlink"/>
            <w:rFonts w:asciiTheme="minorHAnsi" w:hAnsiTheme="minorHAnsi" w:cstheme="minorHAnsi"/>
            <w:noProof/>
          </w:rPr>
          <w:t>Article 1 Subject matter and scope</w:t>
        </w:r>
        <w:r w:rsidR="00987D4D" w:rsidRPr="00987D4D">
          <w:rPr>
            <w:rFonts w:asciiTheme="minorHAnsi" w:hAnsiTheme="minorHAnsi" w:cstheme="minorHAnsi"/>
            <w:noProof/>
            <w:webHidden/>
          </w:rPr>
          <w:tab/>
        </w:r>
        <w:r w:rsidR="00987D4D" w:rsidRPr="00987D4D">
          <w:rPr>
            <w:rFonts w:asciiTheme="minorHAnsi" w:hAnsiTheme="minorHAnsi" w:cstheme="minorHAnsi"/>
            <w:noProof/>
            <w:webHidden/>
          </w:rPr>
          <w:fldChar w:fldCharType="begin"/>
        </w:r>
        <w:r w:rsidR="00987D4D" w:rsidRPr="00987D4D">
          <w:rPr>
            <w:rFonts w:asciiTheme="minorHAnsi" w:hAnsiTheme="minorHAnsi" w:cstheme="minorHAnsi"/>
            <w:noProof/>
            <w:webHidden/>
          </w:rPr>
          <w:instrText xml:space="preserve"> PAGEREF _Toc41647754 \h </w:instrText>
        </w:r>
        <w:r w:rsidR="00987D4D" w:rsidRPr="00987D4D">
          <w:rPr>
            <w:rFonts w:asciiTheme="minorHAnsi" w:hAnsiTheme="minorHAnsi" w:cstheme="minorHAnsi"/>
            <w:noProof/>
            <w:webHidden/>
          </w:rPr>
        </w:r>
        <w:r w:rsidR="00987D4D" w:rsidRPr="00987D4D">
          <w:rPr>
            <w:rFonts w:asciiTheme="minorHAnsi" w:hAnsiTheme="minorHAnsi" w:cstheme="minorHAnsi"/>
            <w:noProof/>
            <w:webHidden/>
          </w:rPr>
          <w:fldChar w:fldCharType="separate"/>
        </w:r>
        <w:r w:rsidR="00987D4D" w:rsidRPr="00987D4D">
          <w:rPr>
            <w:rFonts w:asciiTheme="minorHAnsi" w:hAnsiTheme="minorHAnsi" w:cstheme="minorHAnsi"/>
            <w:noProof/>
            <w:webHidden/>
          </w:rPr>
          <w:t>6</w:t>
        </w:r>
        <w:r w:rsidR="00987D4D" w:rsidRPr="00987D4D">
          <w:rPr>
            <w:rFonts w:asciiTheme="minorHAnsi" w:hAnsiTheme="minorHAnsi" w:cstheme="minorHAnsi"/>
            <w:noProof/>
            <w:webHidden/>
          </w:rPr>
          <w:fldChar w:fldCharType="end"/>
        </w:r>
      </w:hyperlink>
    </w:p>
    <w:p w14:paraId="56AB2624" w14:textId="1ADCFD00" w:rsidR="00987D4D" w:rsidRPr="00987D4D" w:rsidRDefault="00373D2B" w:rsidP="00987D4D">
      <w:pPr>
        <w:pStyle w:val="TOC3"/>
        <w:ind w:left="1687"/>
        <w:rPr>
          <w:rFonts w:asciiTheme="minorHAnsi" w:eastAsiaTheme="minorEastAsia" w:hAnsiTheme="minorHAnsi" w:cstheme="minorHAnsi"/>
          <w:noProof/>
          <w:szCs w:val="22"/>
          <w:lang w:eastAsia="en-GB"/>
        </w:rPr>
      </w:pPr>
      <w:hyperlink w:anchor="_Toc41647755" w:history="1">
        <w:r w:rsidR="00987D4D" w:rsidRPr="00987D4D">
          <w:rPr>
            <w:rStyle w:val="Hyperlink"/>
            <w:rFonts w:asciiTheme="minorHAnsi" w:hAnsiTheme="minorHAnsi" w:cstheme="minorHAnsi"/>
            <w:noProof/>
            <w:lang w:eastAsia="en-US"/>
          </w:rPr>
          <w:t xml:space="preserve">Article 2 </w:t>
        </w:r>
        <w:r w:rsidR="00987D4D" w:rsidRPr="00987D4D">
          <w:rPr>
            <w:rStyle w:val="Hyperlink"/>
            <w:rFonts w:asciiTheme="minorHAnsi" w:hAnsiTheme="minorHAnsi" w:cstheme="minorHAnsi"/>
            <w:noProof/>
          </w:rPr>
          <w:t>Definitions and interpretation</w:t>
        </w:r>
        <w:r w:rsidR="00987D4D" w:rsidRPr="00987D4D">
          <w:rPr>
            <w:rFonts w:asciiTheme="minorHAnsi" w:hAnsiTheme="minorHAnsi" w:cstheme="minorHAnsi"/>
            <w:noProof/>
            <w:webHidden/>
          </w:rPr>
          <w:tab/>
        </w:r>
        <w:r w:rsidR="00987D4D" w:rsidRPr="00987D4D">
          <w:rPr>
            <w:rFonts w:asciiTheme="minorHAnsi" w:hAnsiTheme="minorHAnsi" w:cstheme="minorHAnsi"/>
            <w:noProof/>
            <w:webHidden/>
          </w:rPr>
          <w:fldChar w:fldCharType="begin"/>
        </w:r>
        <w:r w:rsidR="00987D4D" w:rsidRPr="00987D4D">
          <w:rPr>
            <w:rFonts w:asciiTheme="minorHAnsi" w:hAnsiTheme="minorHAnsi" w:cstheme="minorHAnsi"/>
            <w:noProof/>
            <w:webHidden/>
          </w:rPr>
          <w:instrText xml:space="preserve"> PAGEREF _Toc41647755 \h </w:instrText>
        </w:r>
        <w:r w:rsidR="00987D4D" w:rsidRPr="00987D4D">
          <w:rPr>
            <w:rFonts w:asciiTheme="minorHAnsi" w:hAnsiTheme="minorHAnsi" w:cstheme="minorHAnsi"/>
            <w:noProof/>
            <w:webHidden/>
          </w:rPr>
        </w:r>
        <w:r w:rsidR="00987D4D" w:rsidRPr="00987D4D">
          <w:rPr>
            <w:rFonts w:asciiTheme="minorHAnsi" w:hAnsiTheme="minorHAnsi" w:cstheme="minorHAnsi"/>
            <w:noProof/>
            <w:webHidden/>
          </w:rPr>
          <w:fldChar w:fldCharType="separate"/>
        </w:r>
        <w:r w:rsidR="00987D4D" w:rsidRPr="00987D4D">
          <w:rPr>
            <w:rFonts w:asciiTheme="minorHAnsi" w:hAnsiTheme="minorHAnsi" w:cstheme="minorHAnsi"/>
            <w:noProof/>
            <w:webHidden/>
          </w:rPr>
          <w:t>6</w:t>
        </w:r>
        <w:r w:rsidR="00987D4D" w:rsidRPr="00987D4D">
          <w:rPr>
            <w:rFonts w:asciiTheme="minorHAnsi" w:hAnsiTheme="minorHAnsi" w:cstheme="minorHAnsi"/>
            <w:noProof/>
            <w:webHidden/>
          </w:rPr>
          <w:fldChar w:fldCharType="end"/>
        </w:r>
      </w:hyperlink>
    </w:p>
    <w:p w14:paraId="7EE314DB" w14:textId="227DAE66" w:rsidR="00987D4D" w:rsidRPr="00987D4D" w:rsidRDefault="00373D2B">
      <w:pPr>
        <w:pStyle w:val="TOC3"/>
        <w:rPr>
          <w:rFonts w:asciiTheme="minorHAnsi" w:eastAsiaTheme="minorEastAsia" w:hAnsiTheme="minorHAnsi" w:cstheme="minorHAnsi"/>
          <w:noProof/>
          <w:szCs w:val="22"/>
          <w:lang w:eastAsia="en-GB"/>
        </w:rPr>
      </w:pPr>
      <w:hyperlink w:anchor="_Toc41647756" w:history="1">
        <w:r w:rsidR="00987D4D" w:rsidRPr="00987D4D">
          <w:rPr>
            <w:rStyle w:val="Hyperlink"/>
            <w:rFonts w:asciiTheme="minorHAnsi" w:hAnsiTheme="minorHAnsi" w:cstheme="minorHAnsi"/>
            <w:noProof/>
          </w:rPr>
          <w:t>TITLE II Specification and harmonisation of imbalance calculation</w:t>
        </w:r>
        <w:r w:rsidR="00987D4D" w:rsidRPr="00987D4D">
          <w:rPr>
            <w:rFonts w:asciiTheme="minorHAnsi" w:hAnsiTheme="minorHAnsi" w:cstheme="minorHAnsi"/>
            <w:noProof/>
            <w:webHidden/>
          </w:rPr>
          <w:tab/>
        </w:r>
        <w:r w:rsidR="00987D4D" w:rsidRPr="00987D4D">
          <w:rPr>
            <w:rFonts w:asciiTheme="minorHAnsi" w:hAnsiTheme="minorHAnsi" w:cstheme="minorHAnsi"/>
            <w:noProof/>
            <w:webHidden/>
          </w:rPr>
          <w:fldChar w:fldCharType="begin"/>
        </w:r>
        <w:r w:rsidR="00987D4D" w:rsidRPr="00987D4D">
          <w:rPr>
            <w:rFonts w:asciiTheme="minorHAnsi" w:hAnsiTheme="minorHAnsi" w:cstheme="minorHAnsi"/>
            <w:noProof/>
            <w:webHidden/>
          </w:rPr>
          <w:instrText xml:space="preserve"> PAGEREF _Toc41647756 \h </w:instrText>
        </w:r>
        <w:r w:rsidR="00987D4D" w:rsidRPr="00987D4D">
          <w:rPr>
            <w:rFonts w:asciiTheme="minorHAnsi" w:hAnsiTheme="minorHAnsi" w:cstheme="minorHAnsi"/>
            <w:noProof/>
            <w:webHidden/>
          </w:rPr>
        </w:r>
        <w:r w:rsidR="00987D4D" w:rsidRPr="00987D4D">
          <w:rPr>
            <w:rFonts w:asciiTheme="minorHAnsi" w:hAnsiTheme="minorHAnsi" w:cstheme="minorHAnsi"/>
            <w:noProof/>
            <w:webHidden/>
          </w:rPr>
          <w:fldChar w:fldCharType="separate"/>
        </w:r>
        <w:r w:rsidR="00987D4D" w:rsidRPr="00987D4D">
          <w:rPr>
            <w:rFonts w:asciiTheme="minorHAnsi" w:hAnsiTheme="minorHAnsi" w:cstheme="minorHAnsi"/>
            <w:noProof/>
            <w:webHidden/>
          </w:rPr>
          <w:t>7</w:t>
        </w:r>
        <w:r w:rsidR="00987D4D" w:rsidRPr="00987D4D">
          <w:rPr>
            <w:rFonts w:asciiTheme="minorHAnsi" w:hAnsiTheme="minorHAnsi" w:cstheme="minorHAnsi"/>
            <w:noProof/>
            <w:webHidden/>
          </w:rPr>
          <w:fldChar w:fldCharType="end"/>
        </w:r>
      </w:hyperlink>
    </w:p>
    <w:p w14:paraId="68A41755" w14:textId="2CAE64A4" w:rsidR="00987D4D" w:rsidRPr="00987D4D" w:rsidRDefault="00373D2B" w:rsidP="00987D4D">
      <w:pPr>
        <w:pStyle w:val="TOC3"/>
        <w:ind w:left="1687"/>
        <w:rPr>
          <w:rFonts w:asciiTheme="minorHAnsi" w:eastAsiaTheme="minorEastAsia" w:hAnsiTheme="minorHAnsi" w:cstheme="minorHAnsi"/>
          <w:noProof/>
          <w:szCs w:val="22"/>
          <w:lang w:eastAsia="en-GB"/>
        </w:rPr>
      </w:pPr>
      <w:hyperlink w:anchor="_Toc41647757" w:history="1">
        <w:r w:rsidR="00987D4D" w:rsidRPr="00987D4D">
          <w:rPr>
            <w:rStyle w:val="Hyperlink"/>
            <w:rFonts w:asciiTheme="minorHAnsi" w:hAnsiTheme="minorHAnsi" w:cstheme="minorHAnsi"/>
            <w:noProof/>
          </w:rPr>
          <w:t>Article 3 The calculation of a position</w:t>
        </w:r>
        <w:r w:rsidR="00987D4D" w:rsidRPr="00987D4D">
          <w:rPr>
            <w:rFonts w:asciiTheme="minorHAnsi" w:hAnsiTheme="minorHAnsi" w:cstheme="minorHAnsi"/>
            <w:noProof/>
            <w:webHidden/>
          </w:rPr>
          <w:tab/>
        </w:r>
        <w:r w:rsidR="00987D4D" w:rsidRPr="00987D4D">
          <w:rPr>
            <w:rFonts w:asciiTheme="minorHAnsi" w:hAnsiTheme="minorHAnsi" w:cstheme="minorHAnsi"/>
            <w:noProof/>
            <w:webHidden/>
          </w:rPr>
          <w:fldChar w:fldCharType="begin"/>
        </w:r>
        <w:r w:rsidR="00987D4D" w:rsidRPr="00987D4D">
          <w:rPr>
            <w:rFonts w:asciiTheme="minorHAnsi" w:hAnsiTheme="minorHAnsi" w:cstheme="minorHAnsi"/>
            <w:noProof/>
            <w:webHidden/>
          </w:rPr>
          <w:instrText xml:space="preserve"> PAGEREF _Toc41647757 \h </w:instrText>
        </w:r>
        <w:r w:rsidR="00987D4D" w:rsidRPr="00987D4D">
          <w:rPr>
            <w:rFonts w:asciiTheme="minorHAnsi" w:hAnsiTheme="minorHAnsi" w:cstheme="minorHAnsi"/>
            <w:noProof/>
            <w:webHidden/>
          </w:rPr>
        </w:r>
        <w:r w:rsidR="00987D4D" w:rsidRPr="00987D4D">
          <w:rPr>
            <w:rFonts w:asciiTheme="minorHAnsi" w:hAnsiTheme="minorHAnsi" w:cstheme="minorHAnsi"/>
            <w:noProof/>
            <w:webHidden/>
          </w:rPr>
          <w:fldChar w:fldCharType="separate"/>
        </w:r>
        <w:r w:rsidR="00987D4D" w:rsidRPr="00987D4D">
          <w:rPr>
            <w:rFonts w:asciiTheme="minorHAnsi" w:hAnsiTheme="minorHAnsi" w:cstheme="minorHAnsi"/>
            <w:noProof/>
            <w:webHidden/>
          </w:rPr>
          <w:t>7</w:t>
        </w:r>
        <w:r w:rsidR="00987D4D" w:rsidRPr="00987D4D">
          <w:rPr>
            <w:rFonts w:asciiTheme="minorHAnsi" w:hAnsiTheme="minorHAnsi" w:cstheme="minorHAnsi"/>
            <w:noProof/>
            <w:webHidden/>
          </w:rPr>
          <w:fldChar w:fldCharType="end"/>
        </w:r>
      </w:hyperlink>
    </w:p>
    <w:p w14:paraId="7A2008CB" w14:textId="7D76AD86" w:rsidR="00987D4D" w:rsidRPr="00987D4D" w:rsidRDefault="00373D2B" w:rsidP="00987D4D">
      <w:pPr>
        <w:pStyle w:val="TOC3"/>
        <w:ind w:left="1687"/>
        <w:rPr>
          <w:rFonts w:asciiTheme="minorHAnsi" w:eastAsiaTheme="minorEastAsia" w:hAnsiTheme="minorHAnsi" w:cstheme="minorHAnsi"/>
          <w:noProof/>
          <w:szCs w:val="22"/>
          <w:lang w:eastAsia="en-GB"/>
        </w:rPr>
      </w:pPr>
      <w:hyperlink w:anchor="_Toc41647758" w:history="1">
        <w:r w:rsidR="00987D4D" w:rsidRPr="00987D4D">
          <w:rPr>
            <w:rStyle w:val="Hyperlink"/>
            <w:rFonts w:asciiTheme="minorHAnsi" w:hAnsiTheme="minorHAnsi" w:cstheme="minorHAnsi"/>
            <w:noProof/>
          </w:rPr>
          <w:t>Article 4 The calculation of an allocated volume</w:t>
        </w:r>
        <w:r w:rsidR="00987D4D" w:rsidRPr="00987D4D">
          <w:rPr>
            <w:rFonts w:asciiTheme="minorHAnsi" w:hAnsiTheme="minorHAnsi" w:cstheme="minorHAnsi"/>
            <w:noProof/>
            <w:webHidden/>
          </w:rPr>
          <w:tab/>
        </w:r>
        <w:r w:rsidR="00987D4D" w:rsidRPr="00987D4D">
          <w:rPr>
            <w:rFonts w:asciiTheme="minorHAnsi" w:hAnsiTheme="minorHAnsi" w:cstheme="minorHAnsi"/>
            <w:noProof/>
            <w:webHidden/>
          </w:rPr>
          <w:fldChar w:fldCharType="begin"/>
        </w:r>
        <w:r w:rsidR="00987D4D" w:rsidRPr="00987D4D">
          <w:rPr>
            <w:rFonts w:asciiTheme="minorHAnsi" w:hAnsiTheme="minorHAnsi" w:cstheme="minorHAnsi"/>
            <w:noProof/>
            <w:webHidden/>
          </w:rPr>
          <w:instrText xml:space="preserve"> PAGEREF _Toc41647758 \h </w:instrText>
        </w:r>
        <w:r w:rsidR="00987D4D" w:rsidRPr="00987D4D">
          <w:rPr>
            <w:rFonts w:asciiTheme="minorHAnsi" w:hAnsiTheme="minorHAnsi" w:cstheme="minorHAnsi"/>
            <w:noProof/>
            <w:webHidden/>
          </w:rPr>
        </w:r>
        <w:r w:rsidR="00987D4D" w:rsidRPr="00987D4D">
          <w:rPr>
            <w:rFonts w:asciiTheme="minorHAnsi" w:hAnsiTheme="minorHAnsi" w:cstheme="minorHAnsi"/>
            <w:noProof/>
            <w:webHidden/>
          </w:rPr>
          <w:fldChar w:fldCharType="separate"/>
        </w:r>
        <w:r w:rsidR="00987D4D" w:rsidRPr="00987D4D">
          <w:rPr>
            <w:rFonts w:asciiTheme="minorHAnsi" w:hAnsiTheme="minorHAnsi" w:cstheme="minorHAnsi"/>
            <w:noProof/>
            <w:webHidden/>
          </w:rPr>
          <w:t>7</w:t>
        </w:r>
        <w:r w:rsidR="00987D4D" w:rsidRPr="00987D4D">
          <w:rPr>
            <w:rFonts w:asciiTheme="minorHAnsi" w:hAnsiTheme="minorHAnsi" w:cstheme="minorHAnsi"/>
            <w:noProof/>
            <w:webHidden/>
          </w:rPr>
          <w:fldChar w:fldCharType="end"/>
        </w:r>
      </w:hyperlink>
    </w:p>
    <w:p w14:paraId="39FE49AF" w14:textId="161DF2C6" w:rsidR="00987D4D" w:rsidRPr="00987D4D" w:rsidRDefault="00373D2B" w:rsidP="00987D4D">
      <w:pPr>
        <w:pStyle w:val="TOC3"/>
        <w:ind w:left="1687"/>
        <w:rPr>
          <w:rFonts w:asciiTheme="minorHAnsi" w:eastAsiaTheme="minorEastAsia" w:hAnsiTheme="minorHAnsi" w:cstheme="minorHAnsi"/>
          <w:noProof/>
          <w:szCs w:val="22"/>
          <w:lang w:eastAsia="en-GB"/>
        </w:rPr>
      </w:pPr>
      <w:hyperlink w:anchor="_Toc41647759" w:history="1">
        <w:r w:rsidR="00987D4D" w:rsidRPr="00987D4D">
          <w:rPr>
            <w:rStyle w:val="Hyperlink"/>
            <w:rFonts w:asciiTheme="minorHAnsi" w:hAnsiTheme="minorHAnsi" w:cstheme="minorHAnsi"/>
            <w:noProof/>
          </w:rPr>
          <w:t>Article 5 The calculation of an imbalance adjustment</w:t>
        </w:r>
        <w:r w:rsidR="00987D4D" w:rsidRPr="00987D4D">
          <w:rPr>
            <w:rFonts w:asciiTheme="minorHAnsi" w:hAnsiTheme="minorHAnsi" w:cstheme="minorHAnsi"/>
            <w:noProof/>
            <w:webHidden/>
          </w:rPr>
          <w:tab/>
        </w:r>
        <w:r w:rsidR="00987D4D" w:rsidRPr="00987D4D">
          <w:rPr>
            <w:rFonts w:asciiTheme="minorHAnsi" w:hAnsiTheme="minorHAnsi" w:cstheme="minorHAnsi"/>
            <w:noProof/>
            <w:webHidden/>
          </w:rPr>
          <w:fldChar w:fldCharType="begin"/>
        </w:r>
        <w:r w:rsidR="00987D4D" w:rsidRPr="00987D4D">
          <w:rPr>
            <w:rFonts w:asciiTheme="minorHAnsi" w:hAnsiTheme="minorHAnsi" w:cstheme="minorHAnsi"/>
            <w:noProof/>
            <w:webHidden/>
          </w:rPr>
          <w:instrText xml:space="preserve"> PAGEREF _Toc41647759 \h </w:instrText>
        </w:r>
        <w:r w:rsidR="00987D4D" w:rsidRPr="00987D4D">
          <w:rPr>
            <w:rFonts w:asciiTheme="minorHAnsi" w:hAnsiTheme="minorHAnsi" w:cstheme="minorHAnsi"/>
            <w:noProof/>
            <w:webHidden/>
          </w:rPr>
        </w:r>
        <w:r w:rsidR="00987D4D" w:rsidRPr="00987D4D">
          <w:rPr>
            <w:rFonts w:asciiTheme="minorHAnsi" w:hAnsiTheme="minorHAnsi" w:cstheme="minorHAnsi"/>
            <w:noProof/>
            <w:webHidden/>
          </w:rPr>
          <w:fldChar w:fldCharType="separate"/>
        </w:r>
        <w:r w:rsidR="00987D4D" w:rsidRPr="00987D4D">
          <w:rPr>
            <w:rFonts w:asciiTheme="minorHAnsi" w:hAnsiTheme="minorHAnsi" w:cstheme="minorHAnsi"/>
            <w:noProof/>
            <w:webHidden/>
          </w:rPr>
          <w:t>8</w:t>
        </w:r>
        <w:r w:rsidR="00987D4D" w:rsidRPr="00987D4D">
          <w:rPr>
            <w:rFonts w:asciiTheme="minorHAnsi" w:hAnsiTheme="minorHAnsi" w:cstheme="minorHAnsi"/>
            <w:noProof/>
            <w:webHidden/>
          </w:rPr>
          <w:fldChar w:fldCharType="end"/>
        </w:r>
      </w:hyperlink>
    </w:p>
    <w:p w14:paraId="6B5D94D0" w14:textId="22D0C813" w:rsidR="00987D4D" w:rsidRPr="00987D4D" w:rsidRDefault="00373D2B" w:rsidP="00987D4D">
      <w:pPr>
        <w:pStyle w:val="TOC3"/>
        <w:ind w:left="1687"/>
        <w:rPr>
          <w:rFonts w:asciiTheme="minorHAnsi" w:eastAsiaTheme="minorEastAsia" w:hAnsiTheme="minorHAnsi" w:cstheme="minorHAnsi"/>
          <w:noProof/>
          <w:szCs w:val="22"/>
          <w:lang w:eastAsia="en-GB"/>
        </w:rPr>
      </w:pPr>
      <w:hyperlink w:anchor="_Toc41647760" w:history="1">
        <w:r w:rsidR="00987D4D" w:rsidRPr="00987D4D">
          <w:rPr>
            <w:rStyle w:val="Hyperlink"/>
            <w:rFonts w:asciiTheme="minorHAnsi" w:hAnsiTheme="minorHAnsi" w:cstheme="minorHAnsi"/>
            <w:noProof/>
          </w:rPr>
          <w:t>Article 6 Functions of the mFRR-Platform</w:t>
        </w:r>
        <w:r w:rsidR="00987D4D" w:rsidRPr="00987D4D">
          <w:rPr>
            <w:rFonts w:asciiTheme="minorHAnsi" w:hAnsiTheme="minorHAnsi" w:cstheme="minorHAnsi"/>
            <w:noProof/>
            <w:webHidden/>
          </w:rPr>
          <w:tab/>
        </w:r>
        <w:r w:rsidR="00987D4D" w:rsidRPr="00987D4D">
          <w:rPr>
            <w:rFonts w:asciiTheme="minorHAnsi" w:hAnsiTheme="minorHAnsi" w:cstheme="minorHAnsi"/>
            <w:noProof/>
            <w:webHidden/>
          </w:rPr>
          <w:fldChar w:fldCharType="begin"/>
        </w:r>
        <w:r w:rsidR="00987D4D" w:rsidRPr="00987D4D">
          <w:rPr>
            <w:rFonts w:asciiTheme="minorHAnsi" w:hAnsiTheme="minorHAnsi" w:cstheme="minorHAnsi"/>
            <w:noProof/>
            <w:webHidden/>
          </w:rPr>
          <w:instrText xml:space="preserve"> PAGEREF _Toc41647760 \h </w:instrText>
        </w:r>
        <w:r w:rsidR="00987D4D" w:rsidRPr="00987D4D">
          <w:rPr>
            <w:rFonts w:asciiTheme="minorHAnsi" w:hAnsiTheme="minorHAnsi" w:cstheme="minorHAnsi"/>
            <w:noProof/>
            <w:webHidden/>
          </w:rPr>
        </w:r>
        <w:r w:rsidR="00987D4D" w:rsidRPr="00987D4D">
          <w:rPr>
            <w:rFonts w:asciiTheme="minorHAnsi" w:hAnsiTheme="minorHAnsi" w:cstheme="minorHAnsi"/>
            <w:noProof/>
            <w:webHidden/>
          </w:rPr>
          <w:fldChar w:fldCharType="separate"/>
        </w:r>
        <w:r w:rsidR="00987D4D" w:rsidRPr="00987D4D">
          <w:rPr>
            <w:rFonts w:asciiTheme="minorHAnsi" w:hAnsiTheme="minorHAnsi" w:cstheme="minorHAnsi"/>
            <w:noProof/>
            <w:webHidden/>
          </w:rPr>
          <w:t>9</w:t>
        </w:r>
        <w:r w:rsidR="00987D4D" w:rsidRPr="00987D4D">
          <w:rPr>
            <w:rFonts w:asciiTheme="minorHAnsi" w:hAnsiTheme="minorHAnsi" w:cstheme="minorHAnsi"/>
            <w:noProof/>
            <w:webHidden/>
          </w:rPr>
          <w:fldChar w:fldCharType="end"/>
        </w:r>
      </w:hyperlink>
    </w:p>
    <w:p w14:paraId="0022F264" w14:textId="30984E3B" w:rsidR="00987D4D" w:rsidRPr="00987D4D" w:rsidRDefault="00373D2B">
      <w:pPr>
        <w:pStyle w:val="TOC3"/>
        <w:rPr>
          <w:rFonts w:asciiTheme="minorHAnsi" w:eastAsiaTheme="minorEastAsia" w:hAnsiTheme="minorHAnsi" w:cstheme="minorHAnsi"/>
          <w:noProof/>
          <w:szCs w:val="22"/>
          <w:lang w:eastAsia="en-GB"/>
        </w:rPr>
      </w:pPr>
      <w:hyperlink w:anchor="_Toc41647761" w:history="1">
        <w:r w:rsidR="00987D4D" w:rsidRPr="00987D4D">
          <w:rPr>
            <w:rStyle w:val="Hyperlink"/>
            <w:rFonts w:asciiTheme="minorHAnsi" w:hAnsiTheme="minorHAnsi" w:cstheme="minorHAnsi"/>
            <w:noProof/>
          </w:rPr>
          <w:t>TITLE III Specification and harmonisation of imbalance price calculation</w:t>
        </w:r>
        <w:r w:rsidR="00987D4D" w:rsidRPr="00987D4D">
          <w:rPr>
            <w:rFonts w:asciiTheme="minorHAnsi" w:hAnsiTheme="minorHAnsi" w:cstheme="minorHAnsi"/>
            <w:noProof/>
            <w:webHidden/>
          </w:rPr>
          <w:tab/>
        </w:r>
        <w:r w:rsidR="00987D4D" w:rsidRPr="00987D4D">
          <w:rPr>
            <w:rFonts w:asciiTheme="minorHAnsi" w:hAnsiTheme="minorHAnsi" w:cstheme="minorHAnsi"/>
            <w:noProof/>
            <w:webHidden/>
          </w:rPr>
          <w:fldChar w:fldCharType="begin"/>
        </w:r>
        <w:r w:rsidR="00987D4D" w:rsidRPr="00987D4D">
          <w:rPr>
            <w:rFonts w:asciiTheme="minorHAnsi" w:hAnsiTheme="minorHAnsi" w:cstheme="minorHAnsi"/>
            <w:noProof/>
            <w:webHidden/>
          </w:rPr>
          <w:instrText xml:space="preserve"> PAGEREF _Toc41647761 \h </w:instrText>
        </w:r>
        <w:r w:rsidR="00987D4D" w:rsidRPr="00987D4D">
          <w:rPr>
            <w:rFonts w:asciiTheme="minorHAnsi" w:hAnsiTheme="minorHAnsi" w:cstheme="minorHAnsi"/>
            <w:noProof/>
            <w:webHidden/>
          </w:rPr>
        </w:r>
        <w:r w:rsidR="00987D4D" w:rsidRPr="00987D4D">
          <w:rPr>
            <w:rFonts w:asciiTheme="minorHAnsi" w:hAnsiTheme="minorHAnsi" w:cstheme="minorHAnsi"/>
            <w:noProof/>
            <w:webHidden/>
          </w:rPr>
          <w:fldChar w:fldCharType="separate"/>
        </w:r>
        <w:r w:rsidR="00987D4D" w:rsidRPr="00987D4D">
          <w:rPr>
            <w:rFonts w:asciiTheme="minorHAnsi" w:hAnsiTheme="minorHAnsi" w:cstheme="minorHAnsi"/>
            <w:noProof/>
            <w:webHidden/>
          </w:rPr>
          <w:t>9</w:t>
        </w:r>
        <w:r w:rsidR="00987D4D" w:rsidRPr="00987D4D">
          <w:rPr>
            <w:rFonts w:asciiTheme="minorHAnsi" w:hAnsiTheme="minorHAnsi" w:cstheme="minorHAnsi"/>
            <w:noProof/>
            <w:webHidden/>
          </w:rPr>
          <w:fldChar w:fldCharType="end"/>
        </w:r>
      </w:hyperlink>
    </w:p>
    <w:p w14:paraId="57B99F7F" w14:textId="18F10231" w:rsidR="00987D4D" w:rsidRPr="00987D4D" w:rsidRDefault="00373D2B" w:rsidP="00987D4D">
      <w:pPr>
        <w:pStyle w:val="TOC3"/>
        <w:ind w:left="1687"/>
        <w:rPr>
          <w:rFonts w:asciiTheme="minorHAnsi" w:eastAsiaTheme="minorEastAsia" w:hAnsiTheme="minorHAnsi" w:cstheme="minorHAnsi"/>
          <w:noProof/>
          <w:szCs w:val="22"/>
          <w:lang w:eastAsia="en-GB"/>
        </w:rPr>
      </w:pPr>
      <w:hyperlink w:anchor="_Toc41647762" w:history="1">
        <w:r w:rsidR="00987D4D" w:rsidRPr="00987D4D">
          <w:rPr>
            <w:rStyle w:val="Hyperlink"/>
            <w:rFonts w:asciiTheme="minorHAnsi" w:hAnsiTheme="minorHAnsi" w:cstheme="minorHAnsi"/>
            <w:noProof/>
          </w:rPr>
          <w:t>Article 7 The use of single imbalance pricing</w:t>
        </w:r>
        <w:r w:rsidR="00987D4D" w:rsidRPr="00987D4D">
          <w:rPr>
            <w:rFonts w:asciiTheme="minorHAnsi" w:hAnsiTheme="minorHAnsi" w:cstheme="minorHAnsi"/>
            <w:noProof/>
            <w:webHidden/>
          </w:rPr>
          <w:tab/>
        </w:r>
        <w:r w:rsidR="00987D4D" w:rsidRPr="00987D4D">
          <w:rPr>
            <w:rFonts w:asciiTheme="minorHAnsi" w:hAnsiTheme="minorHAnsi" w:cstheme="minorHAnsi"/>
            <w:noProof/>
            <w:webHidden/>
          </w:rPr>
          <w:fldChar w:fldCharType="begin"/>
        </w:r>
        <w:r w:rsidR="00987D4D" w:rsidRPr="00987D4D">
          <w:rPr>
            <w:rFonts w:asciiTheme="minorHAnsi" w:hAnsiTheme="minorHAnsi" w:cstheme="minorHAnsi"/>
            <w:noProof/>
            <w:webHidden/>
          </w:rPr>
          <w:instrText xml:space="preserve"> PAGEREF _Toc41647762 \h </w:instrText>
        </w:r>
        <w:r w:rsidR="00987D4D" w:rsidRPr="00987D4D">
          <w:rPr>
            <w:rFonts w:asciiTheme="minorHAnsi" w:hAnsiTheme="minorHAnsi" w:cstheme="minorHAnsi"/>
            <w:noProof/>
            <w:webHidden/>
          </w:rPr>
        </w:r>
        <w:r w:rsidR="00987D4D" w:rsidRPr="00987D4D">
          <w:rPr>
            <w:rFonts w:asciiTheme="minorHAnsi" w:hAnsiTheme="minorHAnsi" w:cstheme="minorHAnsi"/>
            <w:noProof/>
            <w:webHidden/>
          </w:rPr>
          <w:fldChar w:fldCharType="separate"/>
        </w:r>
        <w:r w:rsidR="00987D4D" w:rsidRPr="00987D4D">
          <w:rPr>
            <w:rFonts w:asciiTheme="minorHAnsi" w:hAnsiTheme="minorHAnsi" w:cstheme="minorHAnsi"/>
            <w:noProof/>
            <w:webHidden/>
          </w:rPr>
          <w:t>9</w:t>
        </w:r>
        <w:r w:rsidR="00987D4D" w:rsidRPr="00987D4D">
          <w:rPr>
            <w:rFonts w:asciiTheme="minorHAnsi" w:hAnsiTheme="minorHAnsi" w:cstheme="minorHAnsi"/>
            <w:noProof/>
            <w:webHidden/>
          </w:rPr>
          <w:fldChar w:fldCharType="end"/>
        </w:r>
      </w:hyperlink>
    </w:p>
    <w:p w14:paraId="0728BBAF" w14:textId="696589FA" w:rsidR="00987D4D" w:rsidRPr="00987D4D" w:rsidRDefault="00373D2B" w:rsidP="00987D4D">
      <w:pPr>
        <w:pStyle w:val="TOC3"/>
        <w:ind w:left="1687"/>
        <w:rPr>
          <w:rFonts w:asciiTheme="minorHAnsi" w:eastAsiaTheme="minorEastAsia" w:hAnsiTheme="minorHAnsi" w:cstheme="minorHAnsi"/>
          <w:noProof/>
          <w:szCs w:val="22"/>
          <w:lang w:eastAsia="en-GB"/>
        </w:rPr>
      </w:pPr>
      <w:hyperlink w:anchor="_Toc41647763" w:history="1">
        <w:r w:rsidR="00987D4D" w:rsidRPr="00987D4D">
          <w:rPr>
            <w:rStyle w:val="Hyperlink"/>
            <w:rFonts w:asciiTheme="minorHAnsi" w:hAnsiTheme="minorHAnsi" w:cstheme="minorHAnsi"/>
            <w:noProof/>
          </w:rPr>
          <w:t xml:space="preserve">Article 8 </w:t>
        </w:r>
        <w:r w:rsidR="00987D4D" w:rsidRPr="00987D4D">
          <w:rPr>
            <w:rStyle w:val="Hyperlink"/>
            <w:rFonts w:asciiTheme="minorHAnsi" w:hAnsiTheme="minorHAnsi" w:cstheme="minorHAnsi"/>
            <w:noProof/>
            <w:lang w:eastAsia="en-US"/>
          </w:rPr>
          <w:t>Establishing the direction of the total system imbalances and the character of a BRP imbalance in an imbalance price area</w:t>
        </w:r>
        <w:r w:rsidR="00987D4D" w:rsidRPr="00987D4D">
          <w:rPr>
            <w:rFonts w:asciiTheme="minorHAnsi" w:hAnsiTheme="minorHAnsi" w:cstheme="minorHAnsi"/>
            <w:noProof/>
            <w:webHidden/>
          </w:rPr>
          <w:tab/>
        </w:r>
        <w:r w:rsidR="00987D4D" w:rsidRPr="00987D4D">
          <w:rPr>
            <w:rFonts w:asciiTheme="minorHAnsi" w:hAnsiTheme="minorHAnsi" w:cstheme="minorHAnsi"/>
            <w:noProof/>
            <w:webHidden/>
          </w:rPr>
          <w:fldChar w:fldCharType="begin"/>
        </w:r>
        <w:r w:rsidR="00987D4D" w:rsidRPr="00987D4D">
          <w:rPr>
            <w:rFonts w:asciiTheme="minorHAnsi" w:hAnsiTheme="minorHAnsi" w:cstheme="minorHAnsi"/>
            <w:noProof/>
            <w:webHidden/>
          </w:rPr>
          <w:instrText xml:space="preserve"> PAGEREF _Toc41647763 \h </w:instrText>
        </w:r>
        <w:r w:rsidR="00987D4D" w:rsidRPr="00987D4D">
          <w:rPr>
            <w:rFonts w:asciiTheme="minorHAnsi" w:hAnsiTheme="minorHAnsi" w:cstheme="minorHAnsi"/>
            <w:noProof/>
            <w:webHidden/>
          </w:rPr>
        </w:r>
        <w:r w:rsidR="00987D4D" w:rsidRPr="00987D4D">
          <w:rPr>
            <w:rFonts w:asciiTheme="minorHAnsi" w:hAnsiTheme="minorHAnsi" w:cstheme="minorHAnsi"/>
            <w:noProof/>
            <w:webHidden/>
          </w:rPr>
          <w:fldChar w:fldCharType="separate"/>
        </w:r>
        <w:r w:rsidR="00987D4D" w:rsidRPr="00987D4D">
          <w:rPr>
            <w:rFonts w:asciiTheme="minorHAnsi" w:hAnsiTheme="minorHAnsi" w:cstheme="minorHAnsi"/>
            <w:noProof/>
            <w:webHidden/>
          </w:rPr>
          <w:t>10</w:t>
        </w:r>
        <w:r w:rsidR="00987D4D" w:rsidRPr="00987D4D">
          <w:rPr>
            <w:rFonts w:asciiTheme="minorHAnsi" w:hAnsiTheme="minorHAnsi" w:cstheme="minorHAnsi"/>
            <w:noProof/>
            <w:webHidden/>
          </w:rPr>
          <w:fldChar w:fldCharType="end"/>
        </w:r>
      </w:hyperlink>
    </w:p>
    <w:p w14:paraId="40B4E3B1" w14:textId="67971AB8" w:rsidR="00987D4D" w:rsidRPr="00987D4D" w:rsidRDefault="00373D2B" w:rsidP="00987D4D">
      <w:pPr>
        <w:pStyle w:val="TOC3"/>
        <w:ind w:left="1687"/>
        <w:rPr>
          <w:rFonts w:asciiTheme="minorHAnsi" w:eastAsiaTheme="minorEastAsia" w:hAnsiTheme="minorHAnsi" w:cstheme="minorHAnsi"/>
          <w:noProof/>
          <w:szCs w:val="22"/>
          <w:lang w:eastAsia="en-GB"/>
        </w:rPr>
      </w:pPr>
      <w:hyperlink w:anchor="_Toc41647764" w:history="1">
        <w:r w:rsidR="00987D4D" w:rsidRPr="00987D4D">
          <w:rPr>
            <w:rStyle w:val="Hyperlink"/>
            <w:rFonts w:asciiTheme="minorHAnsi" w:hAnsiTheme="minorHAnsi" w:cstheme="minorHAnsi"/>
            <w:noProof/>
          </w:rPr>
          <w:t xml:space="preserve">Article 9 </w:t>
        </w:r>
        <w:r w:rsidR="00987D4D" w:rsidRPr="00987D4D">
          <w:rPr>
            <w:rStyle w:val="Hyperlink"/>
            <w:rFonts w:asciiTheme="minorHAnsi" w:hAnsiTheme="minorHAnsi" w:cstheme="minorHAnsi"/>
            <w:noProof/>
            <w:lang w:eastAsia="en-US"/>
          </w:rPr>
          <w:t>Determination of the imbalance price for positive and negative imbalance</w:t>
        </w:r>
        <w:r w:rsidR="00987D4D" w:rsidRPr="00987D4D">
          <w:rPr>
            <w:rFonts w:asciiTheme="minorHAnsi" w:hAnsiTheme="minorHAnsi" w:cstheme="minorHAnsi"/>
            <w:noProof/>
            <w:webHidden/>
          </w:rPr>
          <w:tab/>
        </w:r>
        <w:r w:rsidR="00987D4D" w:rsidRPr="00987D4D">
          <w:rPr>
            <w:rFonts w:asciiTheme="minorHAnsi" w:hAnsiTheme="minorHAnsi" w:cstheme="minorHAnsi"/>
            <w:noProof/>
            <w:webHidden/>
          </w:rPr>
          <w:fldChar w:fldCharType="begin"/>
        </w:r>
        <w:r w:rsidR="00987D4D" w:rsidRPr="00987D4D">
          <w:rPr>
            <w:rFonts w:asciiTheme="minorHAnsi" w:hAnsiTheme="minorHAnsi" w:cstheme="minorHAnsi"/>
            <w:noProof/>
            <w:webHidden/>
          </w:rPr>
          <w:instrText xml:space="preserve"> PAGEREF _Toc41647764 \h </w:instrText>
        </w:r>
        <w:r w:rsidR="00987D4D" w:rsidRPr="00987D4D">
          <w:rPr>
            <w:rFonts w:asciiTheme="minorHAnsi" w:hAnsiTheme="minorHAnsi" w:cstheme="minorHAnsi"/>
            <w:noProof/>
            <w:webHidden/>
          </w:rPr>
        </w:r>
        <w:r w:rsidR="00987D4D" w:rsidRPr="00987D4D">
          <w:rPr>
            <w:rFonts w:asciiTheme="minorHAnsi" w:hAnsiTheme="minorHAnsi" w:cstheme="minorHAnsi"/>
            <w:noProof/>
            <w:webHidden/>
          </w:rPr>
          <w:fldChar w:fldCharType="separate"/>
        </w:r>
        <w:r w:rsidR="00987D4D" w:rsidRPr="00987D4D">
          <w:rPr>
            <w:rFonts w:asciiTheme="minorHAnsi" w:hAnsiTheme="minorHAnsi" w:cstheme="minorHAnsi"/>
            <w:noProof/>
            <w:webHidden/>
          </w:rPr>
          <w:t>11</w:t>
        </w:r>
        <w:r w:rsidR="00987D4D" w:rsidRPr="00987D4D">
          <w:rPr>
            <w:rFonts w:asciiTheme="minorHAnsi" w:hAnsiTheme="minorHAnsi" w:cstheme="minorHAnsi"/>
            <w:noProof/>
            <w:webHidden/>
          </w:rPr>
          <w:fldChar w:fldCharType="end"/>
        </w:r>
      </w:hyperlink>
    </w:p>
    <w:p w14:paraId="768FE333" w14:textId="4DACA2F6" w:rsidR="00987D4D" w:rsidRPr="00987D4D" w:rsidRDefault="00373D2B" w:rsidP="00987D4D">
      <w:pPr>
        <w:pStyle w:val="TOC3"/>
        <w:ind w:left="1687"/>
        <w:rPr>
          <w:rFonts w:asciiTheme="minorHAnsi" w:eastAsiaTheme="minorEastAsia" w:hAnsiTheme="minorHAnsi" w:cstheme="minorHAnsi"/>
          <w:noProof/>
          <w:szCs w:val="22"/>
          <w:lang w:eastAsia="en-GB"/>
        </w:rPr>
      </w:pPr>
      <w:hyperlink w:anchor="_Toc41647765" w:history="1">
        <w:r w:rsidR="00987D4D" w:rsidRPr="00987D4D">
          <w:rPr>
            <w:rStyle w:val="Hyperlink"/>
            <w:rFonts w:asciiTheme="minorHAnsi" w:hAnsiTheme="minorHAnsi" w:cstheme="minorHAnsi"/>
            <w:noProof/>
          </w:rPr>
          <w:t xml:space="preserve">Article 10 </w:t>
        </w:r>
        <w:r w:rsidR="00987D4D" w:rsidRPr="00987D4D">
          <w:rPr>
            <w:rStyle w:val="Hyperlink"/>
            <w:rFonts w:asciiTheme="minorHAnsi" w:hAnsiTheme="minorHAnsi" w:cstheme="minorHAnsi"/>
            <w:noProof/>
            <w:lang w:eastAsia="en-US"/>
          </w:rPr>
          <w:t>The value of avoided activation of balancing energy from frequency restoration reserves or replacement reserves</w:t>
        </w:r>
        <w:r w:rsidR="00987D4D" w:rsidRPr="00987D4D">
          <w:rPr>
            <w:rFonts w:asciiTheme="minorHAnsi" w:hAnsiTheme="minorHAnsi" w:cstheme="minorHAnsi"/>
            <w:noProof/>
            <w:webHidden/>
          </w:rPr>
          <w:tab/>
        </w:r>
        <w:r w:rsidR="00987D4D" w:rsidRPr="00987D4D">
          <w:rPr>
            <w:rFonts w:asciiTheme="minorHAnsi" w:hAnsiTheme="minorHAnsi" w:cstheme="minorHAnsi"/>
            <w:noProof/>
            <w:webHidden/>
          </w:rPr>
          <w:fldChar w:fldCharType="begin"/>
        </w:r>
        <w:r w:rsidR="00987D4D" w:rsidRPr="00987D4D">
          <w:rPr>
            <w:rFonts w:asciiTheme="minorHAnsi" w:hAnsiTheme="minorHAnsi" w:cstheme="minorHAnsi"/>
            <w:noProof/>
            <w:webHidden/>
          </w:rPr>
          <w:instrText xml:space="preserve"> PAGEREF _Toc41647765 \h </w:instrText>
        </w:r>
        <w:r w:rsidR="00987D4D" w:rsidRPr="00987D4D">
          <w:rPr>
            <w:rFonts w:asciiTheme="minorHAnsi" w:hAnsiTheme="minorHAnsi" w:cstheme="minorHAnsi"/>
            <w:noProof/>
            <w:webHidden/>
          </w:rPr>
        </w:r>
        <w:r w:rsidR="00987D4D" w:rsidRPr="00987D4D">
          <w:rPr>
            <w:rFonts w:asciiTheme="minorHAnsi" w:hAnsiTheme="minorHAnsi" w:cstheme="minorHAnsi"/>
            <w:noProof/>
            <w:webHidden/>
          </w:rPr>
          <w:fldChar w:fldCharType="separate"/>
        </w:r>
        <w:r w:rsidR="00987D4D" w:rsidRPr="00987D4D">
          <w:rPr>
            <w:rFonts w:asciiTheme="minorHAnsi" w:hAnsiTheme="minorHAnsi" w:cstheme="minorHAnsi"/>
            <w:noProof/>
            <w:webHidden/>
          </w:rPr>
          <w:t>13</w:t>
        </w:r>
        <w:r w:rsidR="00987D4D" w:rsidRPr="00987D4D">
          <w:rPr>
            <w:rFonts w:asciiTheme="minorHAnsi" w:hAnsiTheme="minorHAnsi" w:cstheme="minorHAnsi"/>
            <w:noProof/>
            <w:webHidden/>
          </w:rPr>
          <w:fldChar w:fldCharType="end"/>
        </w:r>
      </w:hyperlink>
    </w:p>
    <w:p w14:paraId="090C1CEF" w14:textId="6C14C42F" w:rsidR="00987D4D" w:rsidRPr="00987D4D" w:rsidRDefault="00373D2B" w:rsidP="00987D4D">
      <w:pPr>
        <w:pStyle w:val="TOC3"/>
        <w:ind w:left="1687"/>
        <w:rPr>
          <w:rFonts w:asciiTheme="minorHAnsi" w:eastAsiaTheme="minorEastAsia" w:hAnsiTheme="minorHAnsi" w:cstheme="minorHAnsi"/>
          <w:noProof/>
          <w:szCs w:val="22"/>
          <w:lang w:eastAsia="en-GB"/>
        </w:rPr>
      </w:pPr>
      <w:hyperlink w:anchor="_Toc41647766" w:history="1">
        <w:r w:rsidR="00987D4D" w:rsidRPr="00987D4D">
          <w:rPr>
            <w:rStyle w:val="Hyperlink"/>
            <w:rFonts w:asciiTheme="minorHAnsi" w:hAnsiTheme="minorHAnsi" w:cstheme="minorHAnsi"/>
            <w:noProof/>
          </w:rPr>
          <w:t xml:space="preserve">Article 11 </w:t>
        </w:r>
        <w:r w:rsidR="00987D4D" w:rsidRPr="00987D4D">
          <w:rPr>
            <w:rStyle w:val="Hyperlink"/>
            <w:rFonts w:asciiTheme="minorHAnsi" w:hAnsiTheme="minorHAnsi" w:cstheme="minorHAnsi"/>
            <w:noProof/>
            <w:lang w:eastAsia="en-US"/>
          </w:rPr>
          <w:t>Definition of conditions and methodology for applying dual imbalance pricing</w:t>
        </w:r>
        <w:r w:rsidR="00987D4D" w:rsidRPr="00987D4D">
          <w:rPr>
            <w:rFonts w:asciiTheme="minorHAnsi" w:hAnsiTheme="minorHAnsi" w:cstheme="minorHAnsi"/>
            <w:noProof/>
            <w:webHidden/>
          </w:rPr>
          <w:tab/>
        </w:r>
        <w:r w:rsidR="00987D4D" w:rsidRPr="00987D4D">
          <w:rPr>
            <w:rFonts w:asciiTheme="minorHAnsi" w:hAnsiTheme="minorHAnsi" w:cstheme="minorHAnsi"/>
            <w:noProof/>
            <w:webHidden/>
          </w:rPr>
          <w:fldChar w:fldCharType="begin"/>
        </w:r>
        <w:r w:rsidR="00987D4D" w:rsidRPr="00987D4D">
          <w:rPr>
            <w:rFonts w:asciiTheme="minorHAnsi" w:hAnsiTheme="minorHAnsi" w:cstheme="minorHAnsi"/>
            <w:noProof/>
            <w:webHidden/>
          </w:rPr>
          <w:instrText xml:space="preserve"> PAGEREF _Toc41647766 \h </w:instrText>
        </w:r>
        <w:r w:rsidR="00987D4D" w:rsidRPr="00987D4D">
          <w:rPr>
            <w:rFonts w:asciiTheme="minorHAnsi" w:hAnsiTheme="minorHAnsi" w:cstheme="minorHAnsi"/>
            <w:noProof/>
            <w:webHidden/>
          </w:rPr>
        </w:r>
        <w:r w:rsidR="00987D4D" w:rsidRPr="00987D4D">
          <w:rPr>
            <w:rFonts w:asciiTheme="minorHAnsi" w:hAnsiTheme="minorHAnsi" w:cstheme="minorHAnsi"/>
            <w:noProof/>
            <w:webHidden/>
          </w:rPr>
          <w:fldChar w:fldCharType="separate"/>
        </w:r>
        <w:r w:rsidR="00987D4D" w:rsidRPr="00987D4D">
          <w:rPr>
            <w:rFonts w:asciiTheme="minorHAnsi" w:hAnsiTheme="minorHAnsi" w:cstheme="minorHAnsi"/>
            <w:noProof/>
            <w:webHidden/>
          </w:rPr>
          <w:t>14</w:t>
        </w:r>
        <w:r w:rsidR="00987D4D" w:rsidRPr="00987D4D">
          <w:rPr>
            <w:rFonts w:asciiTheme="minorHAnsi" w:hAnsiTheme="minorHAnsi" w:cstheme="minorHAnsi"/>
            <w:noProof/>
            <w:webHidden/>
          </w:rPr>
          <w:fldChar w:fldCharType="end"/>
        </w:r>
      </w:hyperlink>
    </w:p>
    <w:p w14:paraId="30BEA49D" w14:textId="223CDD21" w:rsidR="00987D4D" w:rsidRPr="00987D4D" w:rsidRDefault="00373D2B">
      <w:pPr>
        <w:pStyle w:val="TOC3"/>
        <w:rPr>
          <w:rFonts w:asciiTheme="minorHAnsi" w:eastAsiaTheme="minorEastAsia" w:hAnsiTheme="minorHAnsi" w:cstheme="minorHAnsi"/>
          <w:noProof/>
          <w:szCs w:val="22"/>
          <w:lang w:eastAsia="en-GB"/>
        </w:rPr>
      </w:pPr>
      <w:hyperlink w:anchor="_Toc41647767" w:history="1">
        <w:r w:rsidR="00987D4D" w:rsidRPr="00987D4D">
          <w:rPr>
            <w:rStyle w:val="Hyperlink"/>
            <w:rFonts w:asciiTheme="minorHAnsi" w:hAnsiTheme="minorHAnsi" w:cstheme="minorHAnsi"/>
            <w:noProof/>
          </w:rPr>
          <w:t>TITLE IV Final provisions</w:t>
        </w:r>
        <w:r w:rsidR="00987D4D" w:rsidRPr="00987D4D">
          <w:rPr>
            <w:rFonts w:asciiTheme="minorHAnsi" w:hAnsiTheme="minorHAnsi" w:cstheme="minorHAnsi"/>
            <w:noProof/>
            <w:webHidden/>
          </w:rPr>
          <w:tab/>
        </w:r>
        <w:r w:rsidR="00987D4D" w:rsidRPr="00987D4D">
          <w:rPr>
            <w:rFonts w:asciiTheme="minorHAnsi" w:hAnsiTheme="minorHAnsi" w:cstheme="minorHAnsi"/>
            <w:noProof/>
            <w:webHidden/>
          </w:rPr>
          <w:fldChar w:fldCharType="begin"/>
        </w:r>
        <w:r w:rsidR="00987D4D" w:rsidRPr="00987D4D">
          <w:rPr>
            <w:rFonts w:asciiTheme="minorHAnsi" w:hAnsiTheme="minorHAnsi" w:cstheme="minorHAnsi"/>
            <w:noProof/>
            <w:webHidden/>
          </w:rPr>
          <w:instrText xml:space="preserve"> PAGEREF _Toc41647767 \h </w:instrText>
        </w:r>
        <w:r w:rsidR="00987D4D" w:rsidRPr="00987D4D">
          <w:rPr>
            <w:rFonts w:asciiTheme="minorHAnsi" w:hAnsiTheme="minorHAnsi" w:cstheme="minorHAnsi"/>
            <w:noProof/>
            <w:webHidden/>
          </w:rPr>
        </w:r>
        <w:r w:rsidR="00987D4D" w:rsidRPr="00987D4D">
          <w:rPr>
            <w:rFonts w:asciiTheme="minorHAnsi" w:hAnsiTheme="minorHAnsi" w:cstheme="minorHAnsi"/>
            <w:noProof/>
            <w:webHidden/>
          </w:rPr>
          <w:fldChar w:fldCharType="separate"/>
        </w:r>
        <w:r w:rsidR="00987D4D" w:rsidRPr="00987D4D">
          <w:rPr>
            <w:rFonts w:asciiTheme="minorHAnsi" w:hAnsiTheme="minorHAnsi" w:cstheme="minorHAnsi"/>
            <w:noProof/>
            <w:webHidden/>
          </w:rPr>
          <w:t>15</w:t>
        </w:r>
        <w:r w:rsidR="00987D4D" w:rsidRPr="00987D4D">
          <w:rPr>
            <w:rFonts w:asciiTheme="minorHAnsi" w:hAnsiTheme="minorHAnsi" w:cstheme="minorHAnsi"/>
            <w:noProof/>
            <w:webHidden/>
          </w:rPr>
          <w:fldChar w:fldCharType="end"/>
        </w:r>
      </w:hyperlink>
    </w:p>
    <w:p w14:paraId="1CBDDFD2" w14:textId="1F8C04BA" w:rsidR="00987D4D" w:rsidRPr="00987D4D" w:rsidRDefault="00373D2B" w:rsidP="00987D4D">
      <w:pPr>
        <w:pStyle w:val="TOC3"/>
        <w:ind w:left="1687"/>
        <w:rPr>
          <w:rFonts w:asciiTheme="minorHAnsi" w:eastAsiaTheme="minorEastAsia" w:hAnsiTheme="minorHAnsi" w:cstheme="minorHAnsi"/>
          <w:noProof/>
          <w:szCs w:val="22"/>
          <w:lang w:eastAsia="en-GB"/>
        </w:rPr>
      </w:pPr>
      <w:hyperlink w:anchor="_Toc41647768" w:history="1">
        <w:r w:rsidR="00987D4D" w:rsidRPr="00987D4D">
          <w:rPr>
            <w:rStyle w:val="Hyperlink"/>
            <w:rFonts w:asciiTheme="minorHAnsi" w:hAnsiTheme="minorHAnsi" w:cstheme="minorHAnsi"/>
            <w:noProof/>
          </w:rPr>
          <w:t>Article 12 Publication and implementation of the imbalance settlement harmonisation methodology</w:t>
        </w:r>
        <w:r w:rsidR="00987D4D" w:rsidRPr="00987D4D">
          <w:rPr>
            <w:rFonts w:asciiTheme="minorHAnsi" w:hAnsiTheme="minorHAnsi" w:cstheme="minorHAnsi"/>
            <w:noProof/>
            <w:webHidden/>
          </w:rPr>
          <w:tab/>
        </w:r>
        <w:r w:rsidR="00987D4D" w:rsidRPr="00987D4D">
          <w:rPr>
            <w:rFonts w:asciiTheme="minorHAnsi" w:hAnsiTheme="minorHAnsi" w:cstheme="minorHAnsi"/>
            <w:noProof/>
            <w:webHidden/>
          </w:rPr>
          <w:fldChar w:fldCharType="begin"/>
        </w:r>
        <w:r w:rsidR="00987D4D" w:rsidRPr="00987D4D">
          <w:rPr>
            <w:rFonts w:asciiTheme="minorHAnsi" w:hAnsiTheme="minorHAnsi" w:cstheme="minorHAnsi"/>
            <w:noProof/>
            <w:webHidden/>
          </w:rPr>
          <w:instrText xml:space="preserve"> PAGEREF _Toc41647768 \h </w:instrText>
        </w:r>
        <w:r w:rsidR="00987D4D" w:rsidRPr="00987D4D">
          <w:rPr>
            <w:rFonts w:asciiTheme="minorHAnsi" w:hAnsiTheme="minorHAnsi" w:cstheme="minorHAnsi"/>
            <w:noProof/>
            <w:webHidden/>
          </w:rPr>
        </w:r>
        <w:r w:rsidR="00987D4D" w:rsidRPr="00987D4D">
          <w:rPr>
            <w:rFonts w:asciiTheme="minorHAnsi" w:hAnsiTheme="minorHAnsi" w:cstheme="minorHAnsi"/>
            <w:noProof/>
            <w:webHidden/>
          </w:rPr>
          <w:fldChar w:fldCharType="separate"/>
        </w:r>
        <w:r w:rsidR="00987D4D" w:rsidRPr="00987D4D">
          <w:rPr>
            <w:rFonts w:asciiTheme="minorHAnsi" w:hAnsiTheme="minorHAnsi" w:cstheme="minorHAnsi"/>
            <w:noProof/>
            <w:webHidden/>
          </w:rPr>
          <w:t>15</w:t>
        </w:r>
        <w:r w:rsidR="00987D4D" w:rsidRPr="00987D4D">
          <w:rPr>
            <w:rFonts w:asciiTheme="minorHAnsi" w:hAnsiTheme="minorHAnsi" w:cstheme="minorHAnsi"/>
            <w:noProof/>
            <w:webHidden/>
          </w:rPr>
          <w:fldChar w:fldCharType="end"/>
        </w:r>
      </w:hyperlink>
    </w:p>
    <w:p w14:paraId="3B404B63" w14:textId="41FE6718" w:rsidR="00987D4D" w:rsidRPr="00987D4D" w:rsidRDefault="00373D2B" w:rsidP="00987D4D">
      <w:pPr>
        <w:pStyle w:val="TOC3"/>
        <w:ind w:left="1687"/>
        <w:rPr>
          <w:rFonts w:asciiTheme="minorHAnsi" w:eastAsiaTheme="minorEastAsia" w:hAnsiTheme="minorHAnsi" w:cstheme="minorHAnsi"/>
          <w:noProof/>
          <w:szCs w:val="22"/>
          <w:lang w:eastAsia="en-GB"/>
        </w:rPr>
      </w:pPr>
      <w:hyperlink w:anchor="_Toc41647769" w:history="1">
        <w:r w:rsidR="00987D4D" w:rsidRPr="00987D4D">
          <w:rPr>
            <w:rStyle w:val="Hyperlink"/>
            <w:rFonts w:asciiTheme="minorHAnsi" w:hAnsiTheme="minorHAnsi" w:cstheme="minorHAnsi"/>
            <w:noProof/>
          </w:rPr>
          <w:t xml:space="preserve">Article 13 </w:t>
        </w:r>
        <w:r w:rsidR="00987D4D" w:rsidRPr="00987D4D">
          <w:rPr>
            <w:rStyle w:val="Hyperlink"/>
            <w:rFonts w:asciiTheme="minorHAnsi" w:hAnsiTheme="minorHAnsi" w:cstheme="minorHAnsi"/>
            <w:noProof/>
            <w:lang w:eastAsia="en-US"/>
          </w:rPr>
          <w:t>Language</w:t>
        </w:r>
        <w:r w:rsidR="00987D4D" w:rsidRPr="00987D4D">
          <w:rPr>
            <w:rFonts w:asciiTheme="minorHAnsi" w:hAnsiTheme="minorHAnsi" w:cstheme="minorHAnsi"/>
            <w:noProof/>
            <w:webHidden/>
          </w:rPr>
          <w:tab/>
        </w:r>
        <w:r w:rsidR="00987D4D" w:rsidRPr="00987D4D">
          <w:rPr>
            <w:rFonts w:asciiTheme="minorHAnsi" w:hAnsiTheme="minorHAnsi" w:cstheme="minorHAnsi"/>
            <w:noProof/>
            <w:webHidden/>
          </w:rPr>
          <w:fldChar w:fldCharType="begin"/>
        </w:r>
        <w:r w:rsidR="00987D4D" w:rsidRPr="00987D4D">
          <w:rPr>
            <w:rFonts w:asciiTheme="minorHAnsi" w:hAnsiTheme="minorHAnsi" w:cstheme="minorHAnsi"/>
            <w:noProof/>
            <w:webHidden/>
          </w:rPr>
          <w:instrText xml:space="preserve"> PAGEREF _Toc41647769 \h </w:instrText>
        </w:r>
        <w:r w:rsidR="00987D4D" w:rsidRPr="00987D4D">
          <w:rPr>
            <w:rFonts w:asciiTheme="minorHAnsi" w:hAnsiTheme="minorHAnsi" w:cstheme="minorHAnsi"/>
            <w:noProof/>
            <w:webHidden/>
          </w:rPr>
        </w:r>
        <w:r w:rsidR="00987D4D" w:rsidRPr="00987D4D">
          <w:rPr>
            <w:rFonts w:asciiTheme="minorHAnsi" w:hAnsiTheme="minorHAnsi" w:cstheme="minorHAnsi"/>
            <w:noProof/>
            <w:webHidden/>
          </w:rPr>
          <w:fldChar w:fldCharType="separate"/>
        </w:r>
        <w:r w:rsidR="00987D4D" w:rsidRPr="00987D4D">
          <w:rPr>
            <w:rFonts w:asciiTheme="minorHAnsi" w:hAnsiTheme="minorHAnsi" w:cstheme="minorHAnsi"/>
            <w:noProof/>
            <w:webHidden/>
          </w:rPr>
          <w:t>15</w:t>
        </w:r>
        <w:r w:rsidR="00987D4D" w:rsidRPr="00987D4D">
          <w:rPr>
            <w:rFonts w:asciiTheme="minorHAnsi" w:hAnsiTheme="minorHAnsi" w:cstheme="minorHAnsi"/>
            <w:noProof/>
            <w:webHidden/>
          </w:rPr>
          <w:fldChar w:fldCharType="end"/>
        </w:r>
      </w:hyperlink>
    </w:p>
    <w:p w14:paraId="3240D948" w14:textId="39410085" w:rsidR="00351430" w:rsidRPr="00F70393" w:rsidRDefault="009A0919" w:rsidP="00351430">
      <w:pPr>
        <w:pStyle w:val="textregular"/>
        <w:rPr>
          <w:rFonts w:asciiTheme="minorHAnsi" w:hAnsiTheme="minorHAnsi" w:cstheme="minorHAnsi"/>
        </w:rPr>
      </w:pPr>
      <w:r>
        <w:rPr>
          <w:rFonts w:asciiTheme="minorHAnsi" w:hAnsiTheme="minorHAnsi" w:cstheme="minorHAnsi"/>
        </w:rPr>
        <w:fldChar w:fldCharType="end"/>
      </w:r>
    </w:p>
    <w:p w14:paraId="3240D949" w14:textId="77777777" w:rsidR="0050618F" w:rsidRPr="00F70393" w:rsidRDefault="0050618F">
      <w:pPr>
        <w:rPr>
          <w:rFonts w:ascii="Times New Roman" w:hAnsi="Times New Roman"/>
          <w:szCs w:val="22"/>
          <w:lang w:eastAsia="en-US"/>
        </w:rPr>
      </w:pPr>
      <w:r w:rsidRPr="00F70393">
        <w:rPr>
          <w:rFonts w:ascii="Times New Roman" w:hAnsi="Times New Roman"/>
          <w:szCs w:val="22"/>
          <w:lang w:eastAsia="en-US"/>
        </w:rPr>
        <w:br w:type="page"/>
      </w:r>
    </w:p>
    <w:p w14:paraId="3240D94A" w14:textId="77777777" w:rsidR="0050618F" w:rsidRPr="00F70393" w:rsidRDefault="0050618F" w:rsidP="0050618F">
      <w:pPr>
        <w:spacing w:line="288" w:lineRule="auto"/>
        <w:ind w:hanging="426"/>
        <w:jc w:val="both"/>
        <w:rPr>
          <w:rFonts w:ascii="Times New Roman" w:hAnsi="Times New Roman"/>
          <w:szCs w:val="22"/>
          <w:lang w:eastAsia="en-US"/>
        </w:rPr>
      </w:pPr>
    </w:p>
    <w:p w14:paraId="3240D94B" w14:textId="77777777" w:rsidR="0050618F" w:rsidRPr="00F70393" w:rsidRDefault="0050618F" w:rsidP="0050618F">
      <w:pPr>
        <w:spacing w:line="288" w:lineRule="auto"/>
        <w:jc w:val="center"/>
        <w:outlineLvl w:val="0"/>
        <w:rPr>
          <w:rFonts w:ascii="Times New Roman" w:hAnsi="Times New Roman" w:cs="Arial"/>
          <w:b/>
          <w:color w:val="23236E"/>
          <w:sz w:val="24"/>
          <w:szCs w:val="28"/>
          <w:lang w:eastAsia="en-US"/>
        </w:rPr>
      </w:pPr>
      <w:bookmarkStart w:id="2" w:name="_Toc432586767"/>
      <w:bookmarkStart w:id="3" w:name="_Toc432586787"/>
      <w:bookmarkStart w:id="4" w:name="_Toc445298912"/>
      <w:bookmarkStart w:id="5" w:name="_Toc445299174"/>
      <w:bookmarkStart w:id="6" w:name="_Toc445825430"/>
      <w:bookmarkStart w:id="7" w:name="_Toc41647752"/>
      <w:r w:rsidRPr="00F70393">
        <w:rPr>
          <w:rFonts w:ascii="Times New Roman" w:hAnsi="Times New Roman" w:cs="Arial"/>
          <w:b/>
          <w:color w:val="23236E"/>
          <w:sz w:val="24"/>
          <w:szCs w:val="28"/>
          <w:lang w:eastAsia="en-US"/>
        </w:rPr>
        <w:t>Whereas</w:t>
      </w:r>
      <w:bookmarkEnd w:id="2"/>
      <w:bookmarkEnd w:id="3"/>
      <w:bookmarkEnd w:id="4"/>
      <w:bookmarkEnd w:id="5"/>
      <w:bookmarkEnd w:id="6"/>
      <w:bookmarkEnd w:id="7"/>
    </w:p>
    <w:p w14:paraId="3240D94C" w14:textId="77777777" w:rsidR="0050618F" w:rsidRPr="00F70393" w:rsidRDefault="0050618F" w:rsidP="0050618F">
      <w:pPr>
        <w:spacing w:line="288" w:lineRule="auto"/>
        <w:contextualSpacing/>
        <w:jc w:val="both"/>
        <w:rPr>
          <w:rFonts w:ascii="Times New Roman" w:hAnsi="Times New Roman"/>
          <w:szCs w:val="22"/>
          <w:lang w:eastAsia="en-US"/>
        </w:rPr>
      </w:pPr>
    </w:p>
    <w:p w14:paraId="3A6352D0" w14:textId="77777777" w:rsidR="00030E75" w:rsidRPr="00030E75" w:rsidRDefault="00030E75" w:rsidP="00AA4341">
      <w:pPr>
        <w:pStyle w:val="ListParagraph"/>
        <w:numPr>
          <w:ilvl w:val="0"/>
          <w:numId w:val="9"/>
        </w:numPr>
        <w:spacing w:after="120" w:line="259" w:lineRule="auto"/>
        <w:contextualSpacing w:val="0"/>
        <w:jc w:val="both"/>
        <w:rPr>
          <w:rFonts w:asciiTheme="minorHAnsi" w:hAnsiTheme="minorHAnsi" w:cstheme="minorHAnsi"/>
        </w:rPr>
      </w:pPr>
      <w:r w:rsidRPr="00030E75">
        <w:rPr>
          <w:rFonts w:asciiTheme="minorHAnsi" w:hAnsiTheme="minorHAnsi" w:cstheme="minorHAnsi"/>
        </w:rPr>
        <w:t>This document provides the methodology to further specify and harmonise imbalance settlement (hereafter referred to as the “imbalance settlement harmonisation methodology”) in accordance with Article 52(2) of the Commission Regulation (EU) 2017/2195 establishing a guideline on electricity balancing (hereafter referred to as the “EB Regulation”)</w:t>
      </w:r>
    </w:p>
    <w:p w14:paraId="0F6CC79D" w14:textId="77777777" w:rsidR="00030E75" w:rsidRPr="00030E75" w:rsidRDefault="00030E75" w:rsidP="00AA4341">
      <w:pPr>
        <w:pStyle w:val="ListParagraph"/>
        <w:numPr>
          <w:ilvl w:val="0"/>
          <w:numId w:val="9"/>
        </w:numPr>
        <w:spacing w:after="120" w:line="259" w:lineRule="auto"/>
        <w:contextualSpacing w:val="0"/>
        <w:jc w:val="both"/>
        <w:rPr>
          <w:rFonts w:asciiTheme="minorHAnsi" w:hAnsiTheme="minorHAnsi" w:cstheme="minorHAnsi"/>
        </w:rPr>
      </w:pPr>
      <w:r w:rsidRPr="00030E75">
        <w:rPr>
          <w:rFonts w:asciiTheme="minorHAnsi" w:hAnsiTheme="minorHAnsi" w:cstheme="minorHAnsi"/>
        </w:rPr>
        <w:t>The imbalance settlement harmonisation methodology</w:t>
      </w:r>
      <w:r w:rsidRPr="00030E75" w:rsidDel="00E73371">
        <w:rPr>
          <w:rFonts w:asciiTheme="minorHAnsi" w:hAnsiTheme="minorHAnsi" w:cstheme="minorHAnsi"/>
        </w:rPr>
        <w:t xml:space="preserve"> </w:t>
      </w:r>
      <w:r w:rsidRPr="00030E75">
        <w:rPr>
          <w:rFonts w:asciiTheme="minorHAnsi" w:hAnsiTheme="minorHAnsi" w:cstheme="minorHAnsi"/>
        </w:rPr>
        <w:t xml:space="preserve">takes into account the objectives of the EB Regulation, as set in the recitals and in Article 3 of the EB Regulation, and takes into account the general principles of the settlement processes, as set in Article 44 of the EB Regulation. </w:t>
      </w:r>
    </w:p>
    <w:p w14:paraId="5B32818A" w14:textId="77777777" w:rsidR="00030E75" w:rsidRPr="00030E75" w:rsidRDefault="00030E75" w:rsidP="00AA4341">
      <w:pPr>
        <w:pStyle w:val="ListParagraph"/>
        <w:numPr>
          <w:ilvl w:val="0"/>
          <w:numId w:val="9"/>
        </w:numPr>
        <w:spacing w:after="120" w:line="259" w:lineRule="auto"/>
        <w:contextualSpacing w:val="0"/>
        <w:jc w:val="both"/>
        <w:rPr>
          <w:rFonts w:asciiTheme="minorHAnsi" w:hAnsiTheme="minorHAnsi" w:cstheme="minorHAnsi"/>
        </w:rPr>
      </w:pPr>
      <w:r w:rsidRPr="00030E75">
        <w:rPr>
          <w:rFonts w:asciiTheme="minorHAnsi" w:hAnsiTheme="minorHAnsi" w:cstheme="minorHAnsi"/>
        </w:rPr>
        <w:t>The imbalance settlement harmonisation methodology</w:t>
      </w:r>
      <w:r w:rsidRPr="00030E75" w:rsidDel="00E73371">
        <w:rPr>
          <w:rFonts w:asciiTheme="minorHAnsi" w:hAnsiTheme="minorHAnsi" w:cstheme="minorHAnsi"/>
        </w:rPr>
        <w:t xml:space="preserve"> </w:t>
      </w:r>
      <w:r w:rsidRPr="00030E75">
        <w:rPr>
          <w:rFonts w:asciiTheme="minorHAnsi" w:hAnsiTheme="minorHAnsi" w:cstheme="minorHAnsi"/>
        </w:rPr>
        <w:t>respects the EB Regulation and takes into account the following harmonised elements of imbalance settlement established within the EB Regulation:</w:t>
      </w:r>
    </w:p>
    <w:p w14:paraId="3BA06B1E" w14:textId="77777777" w:rsidR="00030E75" w:rsidRPr="00030E75" w:rsidRDefault="00030E75" w:rsidP="001F4D8E">
      <w:pPr>
        <w:pStyle w:val="ListParagraph"/>
        <w:numPr>
          <w:ilvl w:val="1"/>
          <w:numId w:val="38"/>
        </w:numPr>
        <w:spacing w:after="120" w:line="259" w:lineRule="auto"/>
        <w:ind w:left="1440"/>
        <w:contextualSpacing w:val="0"/>
        <w:jc w:val="both"/>
        <w:rPr>
          <w:rStyle w:val="textregularZchn"/>
          <w:rFonts w:asciiTheme="minorHAnsi" w:hAnsiTheme="minorHAnsi" w:cstheme="minorHAnsi"/>
        </w:rPr>
      </w:pPr>
      <w:r w:rsidRPr="00030E75">
        <w:rPr>
          <w:rStyle w:val="textregularZchn"/>
          <w:rFonts w:asciiTheme="minorHAnsi" w:hAnsiTheme="minorHAnsi" w:cstheme="minorHAnsi"/>
        </w:rPr>
        <w:t>The imbalance area equals the scheduling area, except in case of a central dispatching model, where the imbalance area may constitute a part of the scheduling area.</w:t>
      </w:r>
    </w:p>
    <w:p w14:paraId="143A2B87" w14:textId="77777777" w:rsidR="00030E75" w:rsidRPr="00030E75" w:rsidRDefault="00030E75" w:rsidP="001F4D8E">
      <w:pPr>
        <w:pStyle w:val="ListParagraph"/>
        <w:numPr>
          <w:ilvl w:val="1"/>
          <w:numId w:val="38"/>
        </w:numPr>
        <w:spacing w:after="120" w:line="259" w:lineRule="auto"/>
        <w:ind w:left="1440"/>
        <w:contextualSpacing w:val="0"/>
        <w:jc w:val="both"/>
        <w:rPr>
          <w:rStyle w:val="textregularZchn"/>
          <w:rFonts w:asciiTheme="minorHAnsi" w:hAnsiTheme="minorHAnsi" w:cstheme="minorHAnsi"/>
        </w:rPr>
      </w:pPr>
      <w:r w:rsidRPr="00030E75">
        <w:rPr>
          <w:rStyle w:val="textregularZchn"/>
          <w:rFonts w:asciiTheme="minorHAnsi" w:hAnsiTheme="minorHAnsi" w:cstheme="minorHAnsi"/>
        </w:rPr>
        <w:t>There are no exemptions to balance responsibility in accordance with Article 18(6)(a) and Article 44(4) of the EB Regulation.</w:t>
      </w:r>
    </w:p>
    <w:p w14:paraId="16A4946A" w14:textId="77777777" w:rsidR="00030E75" w:rsidRPr="00030E75" w:rsidRDefault="00030E75" w:rsidP="001F4D8E">
      <w:pPr>
        <w:pStyle w:val="ListParagraph"/>
        <w:numPr>
          <w:ilvl w:val="1"/>
          <w:numId w:val="38"/>
        </w:numPr>
        <w:spacing w:after="120" w:line="259" w:lineRule="auto"/>
        <w:ind w:left="1440"/>
        <w:contextualSpacing w:val="0"/>
        <w:jc w:val="both"/>
        <w:rPr>
          <w:rStyle w:val="textregularZchn"/>
          <w:rFonts w:asciiTheme="minorHAnsi" w:hAnsiTheme="minorHAnsi" w:cstheme="minorHAnsi"/>
        </w:rPr>
      </w:pPr>
      <w:r w:rsidRPr="00030E75">
        <w:rPr>
          <w:rStyle w:val="textregularZchn"/>
          <w:rFonts w:asciiTheme="minorHAnsi" w:hAnsiTheme="minorHAnsi" w:cstheme="minorHAnsi"/>
        </w:rPr>
        <w:t>The final position of all BRPs in self-dispatching models to be used in imbalance calculation is equal to the sum of the internal and external commercial trade schedules in accordance with Articles 54(3)(a) and 54(3)(b) of the EB Regulation.</w:t>
      </w:r>
    </w:p>
    <w:p w14:paraId="42DE6D17" w14:textId="77777777" w:rsidR="00030E75" w:rsidRPr="00030E75" w:rsidRDefault="00030E75" w:rsidP="001F4D8E">
      <w:pPr>
        <w:pStyle w:val="ListParagraph"/>
        <w:numPr>
          <w:ilvl w:val="1"/>
          <w:numId w:val="38"/>
        </w:numPr>
        <w:spacing w:after="120" w:line="259" w:lineRule="auto"/>
        <w:ind w:left="1440"/>
        <w:contextualSpacing w:val="0"/>
        <w:jc w:val="both"/>
        <w:rPr>
          <w:rStyle w:val="textregularZchn"/>
          <w:rFonts w:asciiTheme="minorHAnsi" w:hAnsiTheme="minorHAnsi" w:cstheme="minorHAnsi"/>
        </w:rPr>
      </w:pPr>
      <w:r w:rsidRPr="00030E75">
        <w:rPr>
          <w:rStyle w:val="textregularZchn"/>
          <w:rFonts w:asciiTheme="minorHAnsi" w:hAnsiTheme="minorHAnsi" w:cstheme="minorHAnsi"/>
        </w:rPr>
        <w:t>In a central dispatching model, a BRP can have several final positions per imbalance area in accordance with Article 54(3)(c) of the EB Regulation.</w:t>
      </w:r>
    </w:p>
    <w:p w14:paraId="6A0BE93D" w14:textId="77777777" w:rsidR="00030E75" w:rsidRPr="00030E75" w:rsidRDefault="00030E75" w:rsidP="001F4D8E">
      <w:pPr>
        <w:pStyle w:val="ListParagraph"/>
        <w:numPr>
          <w:ilvl w:val="1"/>
          <w:numId w:val="38"/>
        </w:numPr>
        <w:spacing w:after="120" w:line="259" w:lineRule="auto"/>
        <w:ind w:left="1440"/>
        <w:contextualSpacing w:val="0"/>
        <w:jc w:val="both"/>
        <w:rPr>
          <w:rStyle w:val="textregularZchn"/>
          <w:rFonts w:asciiTheme="minorHAnsi" w:hAnsiTheme="minorHAnsi" w:cstheme="minorHAnsi"/>
        </w:rPr>
      </w:pPr>
      <w:r w:rsidRPr="00030E75">
        <w:rPr>
          <w:rStyle w:val="textregularZchn"/>
          <w:rFonts w:asciiTheme="minorHAnsi" w:hAnsiTheme="minorHAnsi" w:cstheme="minorHAnsi"/>
        </w:rPr>
        <w:t>All balancing energy activated by each connecting TSO for frequency restoration process and reserve replacement process shall be included:</w:t>
      </w:r>
    </w:p>
    <w:p w14:paraId="65FFB9DA" w14:textId="77777777" w:rsidR="00030E75" w:rsidRPr="00030E75" w:rsidRDefault="00030E75" w:rsidP="001F4D8E">
      <w:pPr>
        <w:pStyle w:val="ListParagraph"/>
        <w:numPr>
          <w:ilvl w:val="3"/>
          <w:numId w:val="39"/>
        </w:numPr>
        <w:spacing w:after="120" w:line="259" w:lineRule="auto"/>
        <w:contextualSpacing w:val="0"/>
        <w:jc w:val="both"/>
        <w:rPr>
          <w:rStyle w:val="textregularZchn"/>
          <w:rFonts w:asciiTheme="minorHAnsi" w:hAnsiTheme="minorHAnsi" w:cstheme="minorHAnsi"/>
        </w:rPr>
      </w:pPr>
      <w:r w:rsidRPr="00030E75">
        <w:rPr>
          <w:rStyle w:val="textregularZchn"/>
          <w:rFonts w:asciiTheme="minorHAnsi" w:hAnsiTheme="minorHAnsi" w:cstheme="minorHAnsi"/>
        </w:rPr>
        <w:t>in case of self-dispatching model, in the imbalance adjustment of the BRP or BRPs to whom the related balancing energy bid of the BSP has been assigned by the BSP itself to calculate this imbalance adjustment, in accordance with Article 18(4)(d) and Article 49 of the EB Regulation; or</w:t>
      </w:r>
    </w:p>
    <w:p w14:paraId="1E89C13B" w14:textId="77777777" w:rsidR="00030E75" w:rsidRPr="00030E75" w:rsidRDefault="00030E75" w:rsidP="001F4D8E">
      <w:pPr>
        <w:pStyle w:val="ListParagraph"/>
        <w:numPr>
          <w:ilvl w:val="3"/>
          <w:numId w:val="39"/>
        </w:numPr>
        <w:spacing w:after="120" w:line="259" w:lineRule="auto"/>
        <w:contextualSpacing w:val="0"/>
        <w:jc w:val="both"/>
        <w:rPr>
          <w:rFonts w:asciiTheme="minorHAnsi" w:hAnsiTheme="minorHAnsi" w:cstheme="minorHAnsi"/>
        </w:rPr>
      </w:pPr>
      <w:r w:rsidRPr="00030E75">
        <w:rPr>
          <w:rStyle w:val="textregularZchn"/>
          <w:rFonts w:asciiTheme="minorHAnsi" w:hAnsiTheme="minorHAnsi" w:cstheme="minorHAnsi"/>
        </w:rPr>
        <w:t>in case of central dispatching model, in the imbalance adjustment of the scheduling units of the concerned BRPs to whom the related balancing energy bid of the BSP has been assigned by the BSP itself to calculate this imbalance adjustment, in accordance with Article 18(4)(d) and Article 49 of the EB Regulation</w:t>
      </w:r>
      <w:r w:rsidRPr="00030E75">
        <w:rPr>
          <w:rFonts w:asciiTheme="minorHAnsi" w:hAnsiTheme="minorHAnsi" w:cstheme="minorHAnsi"/>
        </w:rPr>
        <w:t>.</w:t>
      </w:r>
    </w:p>
    <w:p w14:paraId="25C6B087" w14:textId="77777777" w:rsidR="00030E75" w:rsidRPr="00030E75" w:rsidRDefault="00030E75" w:rsidP="001F4D8E">
      <w:pPr>
        <w:pStyle w:val="ListParagraph"/>
        <w:numPr>
          <w:ilvl w:val="1"/>
          <w:numId w:val="38"/>
        </w:numPr>
        <w:spacing w:after="120" w:line="259" w:lineRule="auto"/>
        <w:ind w:left="1440"/>
        <w:contextualSpacing w:val="0"/>
        <w:jc w:val="both"/>
        <w:rPr>
          <w:rStyle w:val="textregularZchn"/>
          <w:rFonts w:asciiTheme="minorHAnsi" w:hAnsiTheme="minorHAnsi" w:cstheme="minorHAnsi"/>
        </w:rPr>
      </w:pPr>
      <w:r w:rsidRPr="00030E75">
        <w:rPr>
          <w:rStyle w:val="textregularZchn"/>
          <w:rFonts w:asciiTheme="minorHAnsi" w:hAnsiTheme="minorHAnsi" w:cstheme="minorHAnsi"/>
        </w:rPr>
        <w:t>The use of single imbalance pricing per ISP for all imbalances in an imbalance price area in accordance with Article 52(2)(c) of the EB Regulation.</w:t>
      </w:r>
    </w:p>
    <w:p w14:paraId="526EF871" w14:textId="77777777" w:rsidR="00030E75" w:rsidRPr="00030E75" w:rsidRDefault="00030E75" w:rsidP="001F4D8E">
      <w:pPr>
        <w:pStyle w:val="ListParagraph"/>
        <w:numPr>
          <w:ilvl w:val="1"/>
          <w:numId w:val="38"/>
        </w:numPr>
        <w:spacing w:after="120" w:line="259" w:lineRule="auto"/>
        <w:ind w:left="1440"/>
        <w:contextualSpacing w:val="0"/>
        <w:jc w:val="both"/>
        <w:rPr>
          <w:rStyle w:val="textregularZchn"/>
          <w:rFonts w:asciiTheme="minorHAnsi" w:hAnsiTheme="minorHAnsi" w:cstheme="minorHAnsi"/>
        </w:rPr>
      </w:pPr>
      <w:r w:rsidRPr="00030E75">
        <w:rPr>
          <w:rStyle w:val="textregularZchn"/>
          <w:rFonts w:asciiTheme="minorHAnsi" w:hAnsiTheme="minorHAnsi" w:cstheme="minorHAnsi"/>
        </w:rPr>
        <w:t>Each relevant regulatory authority ensures that all TSOs under its competence do not incur economic gains or losses with regard to the financial outcome of the settlement processes pursuant to the Chapters 2, 3 and 4 of the Title V of the EB Regulation over the regulatory period as defined by the regulatory authority, and ensures that any positive or negative financial outcome as a result of the settlement processes pursuant to the Chapters 2, 3 and 4 of the Title V of the EB Regulation shall be passed on to network users in accordance with the applicable national rules, in accordance with Article 44(2) of the EB Regulation.</w:t>
      </w:r>
    </w:p>
    <w:p w14:paraId="063DF93F" w14:textId="77777777" w:rsidR="00030E75" w:rsidRPr="00030E75" w:rsidRDefault="00030E75" w:rsidP="00AA4341">
      <w:pPr>
        <w:pStyle w:val="ListParagraph"/>
        <w:numPr>
          <w:ilvl w:val="0"/>
          <w:numId w:val="9"/>
        </w:numPr>
        <w:spacing w:after="120" w:line="259" w:lineRule="auto"/>
        <w:contextualSpacing w:val="0"/>
        <w:jc w:val="both"/>
        <w:rPr>
          <w:rFonts w:asciiTheme="minorHAnsi" w:hAnsiTheme="minorHAnsi" w:cstheme="minorHAnsi"/>
        </w:rPr>
      </w:pPr>
      <w:r w:rsidRPr="00030E75">
        <w:rPr>
          <w:rFonts w:asciiTheme="minorHAnsi" w:hAnsiTheme="minorHAnsi" w:cstheme="minorHAnsi"/>
        </w:rPr>
        <w:t>The imbalance settlement harmonisation methodology</w:t>
      </w:r>
      <w:r w:rsidRPr="00030E75" w:rsidDel="00E73371">
        <w:rPr>
          <w:rFonts w:asciiTheme="minorHAnsi" w:hAnsiTheme="minorHAnsi" w:cstheme="minorHAnsi"/>
        </w:rPr>
        <w:t xml:space="preserve"> </w:t>
      </w:r>
      <w:r w:rsidRPr="00030E75">
        <w:rPr>
          <w:rFonts w:asciiTheme="minorHAnsi" w:hAnsiTheme="minorHAnsi" w:cstheme="minorHAnsi"/>
        </w:rPr>
        <w:t>takes note of the following provisions from the EB Regulation:</w:t>
      </w:r>
    </w:p>
    <w:p w14:paraId="128F9279" w14:textId="77777777" w:rsidR="00030E75" w:rsidRPr="00030E75" w:rsidRDefault="00030E75" w:rsidP="001F4D8E">
      <w:pPr>
        <w:pStyle w:val="ListParagraph"/>
        <w:numPr>
          <w:ilvl w:val="0"/>
          <w:numId w:val="40"/>
        </w:numPr>
        <w:spacing w:after="120" w:line="259" w:lineRule="auto"/>
        <w:contextualSpacing w:val="0"/>
        <w:jc w:val="both"/>
        <w:rPr>
          <w:rStyle w:val="textregularZchn"/>
          <w:rFonts w:asciiTheme="minorHAnsi" w:hAnsiTheme="minorHAnsi" w:cstheme="minorHAnsi"/>
        </w:rPr>
      </w:pPr>
      <w:r w:rsidRPr="00030E75">
        <w:rPr>
          <w:rStyle w:val="textregularZchn"/>
          <w:rFonts w:asciiTheme="minorHAnsi" w:hAnsiTheme="minorHAnsi" w:cstheme="minorHAnsi"/>
        </w:rPr>
        <w:lastRenderedPageBreak/>
        <w:t>The imbalance settlement harmonisation methodology</w:t>
      </w:r>
      <w:r w:rsidRPr="00030E75" w:rsidDel="00E73371">
        <w:rPr>
          <w:rStyle w:val="textregularZchn"/>
          <w:rFonts w:asciiTheme="minorHAnsi" w:hAnsiTheme="minorHAnsi" w:cstheme="minorHAnsi"/>
        </w:rPr>
        <w:t xml:space="preserve"> </w:t>
      </w:r>
      <w:r w:rsidRPr="00030E75">
        <w:rPr>
          <w:rStyle w:val="textregularZchn"/>
          <w:rFonts w:asciiTheme="minorHAnsi" w:hAnsiTheme="minorHAnsi" w:cstheme="minorHAnsi"/>
        </w:rPr>
        <w:t>distinguishes, where appropriate, between self-dispatching models and central dispatching models in accordance with Article 52(3) of the EB Regulation.</w:t>
      </w:r>
    </w:p>
    <w:p w14:paraId="28F2E25B" w14:textId="77777777" w:rsidR="00030E75" w:rsidRPr="00030E75" w:rsidRDefault="00030E75" w:rsidP="001F4D8E">
      <w:pPr>
        <w:pStyle w:val="ListParagraph"/>
        <w:numPr>
          <w:ilvl w:val="0"/>
          <w:numId w:val="40"/>
        </w:numPr>
        <w:spacing w:after="120" w:line="259" w:lineRule="auto"/>
        <w:contextualSpacing w:val="0"/>
        <w:jc w:val="both"/>
        <w:rPr>
          <w:rStyle w:val="textregularZchn"/>
          <w:rFonts w:asciiTheme="minorHAnsi" w:hAnsiTheme="minorHAnsi" w:cstheme="minorHAnsi"/>
        </w:rPr>
      </w:pPr>
      <w:r w:rsidRPr="00030E75">
        <w:rPr>
          <w:rStyle w:val="textregularZchn"/>
          <w:rFonts w:asciiTheme="minorHAnsi" w:hAnsiTheme="minorHAnsi" w:cstheme="minorHAnsi"/>
        </w:rPr>
        <w:t>Each TSO may develop a proposal for an additional settlement mechanism with BRPs separate from imbalance settlement to settle the procurement costs of balancing capacity pursuant to the Chapter 5 of the Title V of the EB Regulation, administrative costs and other costs related to balancing in accordance with Article 44(3) of the EB Regulation.</w:t>
      </w:r>
      <w:r w:rsidRPr="00030E75" w:rsidDel="0068096C">
        <w:rPr>
          <w:rStyle w:val="textregularZchn"/>
          <w:rFonts w:asciiTheme="minorHAnsi" w:hAnsiTheme="minorHAnsi" w:cstheme="minorHAnsi"/>
        </w:rPr>
        <w:t xml:space="preserve"> </w:t>
      </w:r>
    </w:p>
    <w:p w14:paraId="08E291F5" w14:textId="77777777" w:rsidR="00030E75" w:rsidRPr="00030E75" w:rsidRDefault="00030E75" w:rsidP="001F4D8E">
      <w:pPr>
        <w:pStyle w:val="ListParagraph"/>
        <w:numPr>
          <w:ilvl w:val="0"/>
          <w:numId w:val="40"/>
        </w:numPr>
        <w:spacing w:after="120" w:line="259" w:lineRule="auto"/>
        <w:contextualSpacing w:val="0"/>
        <w:jc w:val="both"/>
        <w:rPr>
          <w:rStyle w:val="textregularZchn"/>
          <w:rFonts w:asciiTheme="minorHAnsi" w:hAnsiTheme="minorHAnsi" w:cstheme="minorHAnsi"/>
        </w:rPr>
      </w:pPr>
      <w:r w:rsidRPr="00030E75">
        <w:rPr>
          <w:rStyle w:val="textregularZchn"/>
          <w:rFonts w:asciiTheme="minorHAnsi" w:hAnsiTheme="minorHAnsi" w:cstheme="minorHAnsi"/>
        </w:rPr>
        <w:t>Terms and conditions for BSPs and BRPs in accordance with Article 18 of the EB Regulation remain a responsibility of each TSO but have to respect the EB Regulation and the methodologies pursuant to it.</w:t>
      </w:r>
    </w:p>
    <w:p w14:paraId="77060FC2" w14:textId="77777777" w:rsidR="00030E75" w:rsidRPr="00030E75" w:rsidRDefault="00030E75" w:rsidP="001F4D8E">
      <w:pPr>
        <w:pStyle w:val="ListParagraph"/>
        <w:numPr>
          <w:ilvl w:val="0"/>
          <w:numId w:val="40"/>
        </w:numPr>
        <w:spacing w:after="120" w:line="259" w:lineRule="auto"/>
        <w:contextualSpacing w:val="0"/>
        <w:jc w:val="both"/>
        <w:rPr>
          <w:rStyle w:val="textregularZchn"/>
          <w:rFonts w:asciiTheme="minorHAnsi" w:hAnsiTheme="minorHAnsi" w:cstheme="minorHAnsi"/>
        </w:rPr>
      </w:pPr>
      <w:r w:rsidRPr="00030E75">
        <w:rPr>
          <w:rStyle w:val="textregularZchn"/>
          <w:rFonts w:asciiTheme="minorHAnsi" w:hAnsiTheme="minorHAnsi" w:cstheme="minorHAnsi"/>
        </w:rPr>
        <w:t>Each TSO shall set up the rules to calculate the imbalance price in accordance with Article 55(1) of the EB Regulation.</w:t>
      </w:r>
    </w:p>
    <w:p w14:paraId="3E9788AD" w14:textId="77777777" w:rsidR="00030E75" w:rsidRPr="00030E75" w:rsidRDefault="00030E75" w:rsidP="001F4D8E">
      <w:pPr>
        <w:pStyle w:val="ListParagraph"/>
        <w:numPr>
          <w:ilvl w:val="0"/>
          <w:numId w:val="40"/>
        </w:numPr>
        <w:spacing w:after="120" w:line="259" w:lineRule="auto"/>
        <w:contextualSpacing w:val="0"/>
        <w:jc w:val="both"/>
        <w:rPr>
          <w:rStyle w:val="textregularZchn"/>
          <w:rFonts w:asciiTheme="minorHAnsi" w:hAnsiTheme="minorHAnsi" w:cstheme="minorHAnsi"/>
        </w:rPr>
      </w:pPr>
      <w:r w:rsidRPr="00030E75">
        <w:rPr>
          <w:rStyle w:val="textregularZchn"/>
          <w:rFonts w:asciiTheme="minorHAnsi" w:hAnsiTheme="minorHAnsi" w:cstheme="minorHAnsi"/>
        </w:rPr>
        <w:t>A regulatory authority may, at the request of a TSO, grant the application of dual pricing for all imbalances, based on the conditions established in the imbalance settlement harmonisation methodology. The proposal for application of dual pricing shall include a justification pursuant to the provisions of the imbalance settlement harmonisation methodology.</w:t>
      </w:r>
    </w:p>
    <w:p w14:paraId="566330C9" w14:textId="77777777" w:rsidR="00030E75" w:rsidRPr="00030E75" w:rsidRDefault="00030E75" w:rsidP="001F4D8E">
      <w:pPr>
        <w:pStyle w:val="ListParagraph"/>
        <w:numPr>
          <w:ilvl w:val="0"/>
          <w:numId w:val="40"/>
        </w:numPr>
        <w:spacing w:after="120" w:line="259" w:lineRule="auto"/>
        <w:contextualSpacing w:val="0"/>
        <w:jc w:val="both"/>
        <w:rPr>
          <w:rStyle w:val="textregularZchn"/>
          <w:rFonts w:asciiTheme="minorHAnsi" w:hAnsiTheme="minorHAnsi" w:cstheme="minorHAnsi"/>
        </w:rPr>
      </w:pPr>
      <w:r w:rsidRPr="00030E75">
        <w:rPr>
          <w:rStyle w:val="textregularZchn"/>
          <w:rFonts w:asciiTheme="minorHAnsi" w:hAnsiTheme="minorHAnsi" w:cstheme="minorHAnsi"/>
        </w:rPr>
        <w:t>A regulatory authority may, at the request of a TSO or at its own initiative, grant the relevant TSOs a derogation from one or more provisions of the EB Regulation:</w:t>
      </w:r>
    </w:p>
    <w:p w14:paraId="365363FD" w14:textId="77777777" w:rsidR="00030E75" w:rsidRPr="00030E75" w:rsidRDefault="00030E75" w:rsidP="001F4D8E">
      <w:pPr>
        <w:pStyle w:val="ListParagraph"/>
        <w:numPr>
          <w:ilvl w:val="3"/>
          <w:numId w:val="41"/>
        </w:numPr>
        <w:spacing w:after="120" w:line="259" w:lineRule="auto"/>
        <w:contextualSpacing w:val="0"/>
        <w:jc w:val="both"/>
        <w:rPr>
          <w:rFonts w:asciiTheme="minorHAnsi" w:hAnsiTheme="minorHAnsi" w:cstheme="minorHAnsi"/>
        </w:rPr>
      </w:pPr>
      <w:r w:rsidRPr="00030E75">
        <w:rPr>
          <w:rFonts w:asciiTheme="minorHAnsi" w:hAnsiTheme="minorHAnsi" w:cstheme="minorHAnsi"/>
        </w:rPr>
        <w:t>the deadlines by which a TSO shall use the European platforms pursuant to Articles 19(5), 20(6), 21(6) and 22(5) of the EB Regulation;</w:t>
      </w:r>
    </w:p>
    <w:p w14:paraId="382FBA00" w14:textId="77777777" w:rsidR="00030E75" w:rsidRPr="00030E75" w:rsidRDefault="00030E75" w:rsidP="001F4D8E">
      <w:pPr>
        <w:pStyle w:val="ListParagraph"/>
        <w:numPr>
          <w:ilvl w:val="3"/>
          <w:numId w:val="41"/>
        </w:numPr>
        <w:spacing w:after="120" w:line="259" w:lineRule="auto"/>
        <w:contextualSpacing w:val="0"/>
        <w:jc w:val="both"/>
        <w:rPr>
          <w:rFonts w:asciiTheme="minorHAnsi" w:hAnsiTheme="minorHAnsi" w:cstheme="minorHAnsi"/>
        </w:rPr>
      </w:pPr>
      <w:r w:rsidRPr="00030E75">
        <w:rPr>
          <w:rFonts w:asciiTheme="minorHAnsi" w:hAnsiTheme="minorHAnsi" w:cstheme="minorHAnsi"/>
        </w:rPr>
        <w:t>the harmonisation of the ISP to 15 minutes in accordance with Article 53 of the EB Regulation;</w:t>
      </w:r>
    </w:p>
    <w:p w14:paraId="19FF6AB8" w14:textId="77777777" w:rsidR="00030E75" w:rsidRPr="00030E75" w:rsidRDefault="00030E75" w:rsidP="001F4D8E">
      <w:pPr>
        <w:pStyle w:val="ListParagraph"/>
        <w:numPr>
          <w:ilvl w:val="3"/>
          <w:numId w:val="41"/>
        </w:numPr>
        <w:spacing w:after="120" w:line="259" w:lineRule="auto"/>
        <w:contextualSpacing w:val="0"/>
        <w:jc w:val="both"/>
        <w:rPr>
          <w:rFonts w:asciiTheme="minorHAnsi" w:hAnsiTheme="minorHAnsi" w:cstheme="minorHAnsi"/>
        </w:rPr>
      </w:pPr>
      <w:r w:rsidRPr="00030E75">
        <w:rPr>
          <w:rFonts w:asciiTheme="minorHAnsi" w:hAnsiTheme="minorHAnsi" w:cstheme="minorHAnsi"/>
        </w:rPr>
        <w:t>the implementation of the requirements pursuant to Articles 45, 46, 47, 48, 49, 50, 54, 55 of the EB Regulation.</w:t>
      </w:r>
    </w:p>
    <w:p w14:paraId="76ADCAB7" w14:textId="77777777" w:rsidR="00030E75" w:rsidRPr="00030E75" w:rsidRDefault="00030E75" w:rsidP="001F4D8E">
      <w:pPr>
        <w:pStyle w:val="ListParagraph"/>
        <w:numPr>
          <w:ilvl w:val="0"/>
          <w:numId w:val="40"/>
        </w:numPr>
        <w:spacing w:after="120" w:line="259" w:lineRule="auto"/>
        <w:contextualSpacing w:val="0"/>
        <w:jc w:val="both"/>
        <w:rPr>
          <w:rStyle w:val="textregularZchn"/>
          <w:rFonts w:asciiTheme="minorHAnsi" w:hAnsiTheme="minorHAnsi" w:cstheme="minorHAnsi"/>
        </w:rPr>
      </w:pPr>
      <w:r w:rsidRPr="00030E75">
        <w:rPr>
          <w:rStyle w:val="textregularZchn"/>
          <w:rFonts w:asciiTheme="minorHAnsi" w:hAnsiTheme="minorHAnsi" w:cstheme="minorHAnsi"/>
        </w:rPr>
        <w:t>The regulatory authorities of the relevant synchronous area may, at the joint request of the TSOs of the synchronous area, grant the exemption from the harmonisation of the ISP to 15 minutes in accordance with Article 53 of the EB Regulation.</w:t>
      </w:r>
    </w:p>
    <w:p w14:paraId="0446BF54" w14:textId="77777777" w:rsidR="00030E75" w:rsidRPr="00030E75" w:rsidRDefault="00030E75" w:rsidP="001F4D8E">
      <w:pPr>
        <w:pStyle w:val="ListParagraph"/>
        <w:numPr>
          <w:ilvl w:val="0"/>
          <w:numId w:val="40"/>
        </w:numPr>
        <w:spacing w:after="120" w:line="259" w:lineRule="auto"/>
        <w:contextualSpacing w:val="0"/>
        <w:jc w:val="both"/>
        <w:rPr>
          <w:rStyle w:val="textregularZchn"/>
          <w:rFonts w:asciiTheme="minorHAnsi" w:hAnsiTheme="minorHAnsi" w:cstheme="minorHAnsi"/>
        </w:rPr>
      </w:pPr>
      <w:r w:rsidRPr="00030E75">
        <w:rPr>
          <w:rStyle w:val="textregularZchn"/>
          <w:rFonts w:asciiTheme="minorHAnsi" w:hAnsiTheme="minorHAnsi" w:cstheme="minorHAnsi"/>
        </w:rPr>
        <w:t>A TSO may delegate all or part of any tasks with which it is entrusted under the EB Regulation to one or more third parties according to Article 13(1) of the EB Regulation.</w:t>
      </w:r>
    </w:p>
    <w:p w14:paraId="29269BE9" w14:textId="77777777" w:rsidR="00030E75" w:rsidRPr="00030E75" w:rsidRDefault="00030E75" w:rsidP="001F4D8E">
      <w:pPr>
        <w:pStyle w:val="ListParagraph"/>
        <w:numPr>
          <w:ilvl w:val="0"/>
          <w:numId w:val="40"/>
        </w:numPr>
        <w:spacing w:after="120" w:line="259" w:lineRule="auto"/>
        <w:contextualSpacing w:val="0"/>
        <w:jc w:val="both"/>
        <w:rPr>
          <w:rStyle w:val="textregularZchn"/>
          <w:rFonts w:asciiTheme="minorHAnsi" w:hAnsiTheme="minorHAnsi" w:cstheme="minorHAnsi"/>
        </w:rPr>
      </w:pPr>
      <w:r w:rsidRPr="00030E75">
        <w:rPr>
          <w:rStyle w:val="textregularZchn"/>
          <w:rFonts w:asciiTheme="minorHAnsi" w:hAnsiTheme="minorHAnsi" w:cstheme="minorHAnsi"/>
        </w:rPr>
        <w:t>A Member state, or where applicable a relevant regulatory authority, may assign tasks or obligations entrusted to TSOs under the EB Regulation to one or more third parties according to Article 13(4) of the EB Regulation. In the event that tasks and obligations are assigned to a third party by a Member State, or a regulatory authority, references to TSO in this imbalance settlement harmonisation methodology</w:t>
      </w:r>
      <w:r w:rsidRPr="00030E75" w:rsidDel="00E73371">
        <w:rPr>
          <w:rStyle w:val="textregularZchn"/>
          <w:rFonts w:asciiTheme="minorHAnsi" w:hAnsiTheme="minorHAnsi" w:cstheme="minorHAnsi"/>
        </w:rPr>
        <w:t xml:space="preserve"> </w:t>
      </w:r>
      <w:r w:rsidRPr="00030E75">
        <w:rPr>
          <w:rStyle w:val="textregularZchn"/>
          <w:rFonts w:asciiTheme="minorHAnsi" w:hAnsiTheme="minorHAnsi" w:cstheme="minorHAnsi"/>
        </w:rPr>
        <w:t>shall be understood as referring to the assigned entity in respect of the assigned tasks and obligations.</w:t>
      </w:r>
    </w:p>
    <w:p w14:paraId="4937FB6E" w14:textId="77777777" w:rsidR="00030E75" w:rsidRPr="00030E75" w:rsidRDefault="00030E75" w:rsidP="001F4D8E">
      <w:pPr>
        <w:pStyle w:val="ListParagraph"/>
        <w:numPr>
          <w:ilvl w:val="0"/>
          <w:numId w:val="40"/>
        </w:numPr>
        <w:spacing w:after="120" w:line="259" w:lineRule="auto"/>
        <w:contextualSpacing w:val="0"/>
        <w:jc w:val="both"/>
        <w:rPr>
          <w:rStyle w:val="textregularZchn"/>
          <w:rFonts w:asciiTheme="minorHAnsi" w:hAnsiTheme="minorHAnsi" w:cstheme="minorHAnsi"/>
        </w:rPr>
      </w:pPr>
      <w:r w:rsidRPr="00030E75">
        <w:rPr>
          <w:rStyle w:val="textregularZchn"/>
          <w:rFonts w:asciiTheme="minorHAnsi" w:hAnsiTheme="minorHAnsi" w:cstheme="minorHAnsi"/>
        </w:rPr>
        <w:t>TSOs responsible for developing a proposal for terms and conditions or methodologies, or regulatory authorities responsible for their adoption in accordance with Articles 5(2), 5(3) and 5(4) of the EB Regulation, may request amendments of those terms and conditions or methodologies, in accordance with Article 6(3) of the EB Regulation.</w:t>
      </w:r>
    </w:p>
    <w:p w14:paraId="03B5973C" w14:textId="77777777" w:rsidR="00030E75" w:rsidRPr="00030E75" w:rsidRDefault="00030E75" w:rsidP="00AA4341">
      <w:pPr>
        <w:pStyle w:val="ListParagraph"/>
        <w:numPr>
          <w:ilvl w:val="0"/>
          <w:numId w:val="9"/>
        </w:numPr>
        <w:spacing w:after="120" w:line="259" w:lineRule="auto"/>
        <w:contextualSpacing w:val="0"/>
        <w:jc w:val="both"/>
        <w:rPr>
          <w:rFonts w:asciiTheme="minorHAnsi" w:hAnsiTheme="minorHAnsi" w:cstheme="minorHAnsi"/>
        </w:rPr>
      </w:pPr>
      <w:r w:rsidRPr="00030E75">
        <w:rPr>
          <w:rFonts w:asciiTheme="minorHAnsi" w:hAnsiTheme="minorHAnsi" w:cstheme="minorHAnsi"/>
        </w:rPr>
        <w:t>The imbalance settlement harmonisation methodology</w:t>
      </w:r>
      <w:r w:rsidRPr="00030E75" w:rsidDel="00E73371">
        <w:rPr>
          <w:rFonts w:asciiTheme="minorHAnsi" w:hAnsiTheme="minorHAnsi" w:cstheme="minorHAnsi"/>
        </w:rPr>
        <w:t xml:space="preserve"> </w:t>
      </w:r>
      <w:r w:rsidRPr="00030E75">
        <w:rPr>
          <w:rFonts w:asciiTheme="minorHAnsi" w:hAnsiTheme="minorHAnsi" w:cstheme="minorHAnsi"/>
        </w:rPr>
        <w:t>contributes to the objectives stated in Article 3 of the EB Regulation as follows:</w:t>
      </w:r>
    </w:p>
    <w:p w14:paraId="68779E54" w14:textId="77777777" w:rsidR="00030E75" w:rsidRPr="00030E75" w:rsidRDefault="00030E75" w:rsidP="001F4D8E">
      <w:pPr>
        <w:pStyle w:val="ListParagraph"/>
        <w:numPr>
          <w:ilvl w:val="0"/>
          <w:numId w:val="42"/>
        </w:numPr>
        <w:spacing w:after="120" w:line="259" w:lineRule="auto"/>
        <w:contextualSpacing w:val="0"/>
        <w:jc w:val="both"/>
        <w:rPr>
          <w:rStyle w:val="textregularZchn"/>
          <w:rFonts w:asciiTheme="minorHAnsi" w:hAnsiTheme="minorHAnsi" w:cstheme="minorHAnsi"/>
        </w:rPr>
      </w:pPr>
      <w:bookmarkStart w:id="8" w:name="_Ref436817306"/>
      <w:r w:rsidRPr="00030E75">
        <w:rPr>
          <w:rStyle w:val="textregularZchn"/>
          <w:rFonts w:asciiTheme="minorHAnsi" w:hAnsiTheme="minorHAnsi" w:cstheme="minorHAnsi"/>
        </w:rPr>
        <w:lastRenderedPageBreak/>
        <w:t>This imbalance settlement harmonisation methodology</w:t>
      </w:r>
      <w:r w:rsidRPr="00030E75" w:rsidDel="00E73371">
        <w:rPr>
          <w:rStyle w:val="textregularZchn"/>
          <w:rFonts w:asciiTheme="minorHAnsi" w:hAnsiTheme="minorHAnsi" w:cstheme="minorHAnsi"/>
        </w:rPr>
        <w:t xml:space="preserve"> </w:t>
      </w:r>
      <w:r w:rsidRPr="00030E75">
        <w:rPr>
          <w:rStyle w:val="textregularZchn"/>
          <w:rFonts w:asciiTheme="minorHAnsi" w:hAnsiTheme="minorHAnsi" w:cstheme="minorHAnsi"/>
        </w:rPr>
        <w:t>contributes to the objective for fostering non-discrimination and transparency in balancing markets as stated in Article 3(1)(a) of the EB Regulation, by further specifying and harmonising the rules for the calculation of the BRP imbalance and the subsequent settlement.</w:t>
      </w:r>
    </w:p>
    <w:p w14:paraId="5001EBEF" w14:textId="77777777" w:rsidR="00030E75" w:rsidRPr="00030E75" w:rsidRDefault="00030E75" w:rsidP="001F4D8E">
      <w:pPr>
        <w:pStyle w:val="ListParagraph"/>
        <w:numPr>
          <w:ilvl w:val="0"/>
          <w:numId w:val="42"/>
        </w:numPr>
        <w:spacing w:after="120" w:line="259" w:lineRule="auto"/>
        <w:contextualSpacing w:val="0"/>
        <w:jc w:val="both"/>
        <w:rPr>
          <w:rStyle w:val="textregularZchn"/>
          <w:rFonts w:asciiTheme="minorHAnsi" w:hAnsiTheme="minorHAnsi" w:cstheme="minorHAnsi"/>
        </w:rPr>
      </w:pPr>
      <w:r w:rsidRPr="00030E75">
        <w:rPr>
          <w:rStyle w:val="textregularZchn"/>
          <w:rFonts w:asciiTheme="minorHAnsi" w:hAnsiTheme="minorHAnsi" w:cstheme="minorHAnsi"/>
        </w:rPr>
        <w:t xml:space="preserve">This imbalance settlement harmonisation methodology enhances efficiency of balancing in accordance with the objective stated in Article 3(1)(b) of the EB Regulation by providing to the BRPs the right incentives to either be in balance or help the system to restore its balance, through the different options for calculating the imbalance price, in accordance with the objective stated in Article 3(1)(b) of the EB Regulation </w:t>
      </w:r>
    </w:p>
    <w:p w14:paraId="74C50D7B" w14:textId="77777777" w:rsidR="00030E75" w:rsidRPr="00030E75" w:rsidRDefault="00030E75" w:rsidP="001F4D8E">
      <w:pPr>
        <w:pStyle w:val="ListParagraph"/>
        <w:numPr>
          <w:ilvl w:val="0"/>
          <w:numId w:val="42"/>
        </w:numPr>
        <w:spacing w:after="120" w:line="259" w:lineRule="auto"/>
        <w:contextualSpacing w:val="0"/>
        <w:jc w:val="both"/>
        <w:rPr>
          <w:rStyle w:val="textregularZchn"/>
          <w:rFonts w:asciiTheme="minorHAnsi" w:hAnsiTheme="minorHAnsi" w:cstheme="minorHAnsi"/>
        </w:rPr>
      </w:pPr>
      <w:r w:rsidRPr="00030E75">
        <w:rPr>
          <w:rStyle w:val="textregularZchn"/>
          <w:rFonts w:asciiTheme="minorHAnsi" w:hAnsiTheme="minorHAnsi" w:cstheme="minorHAnsi"/>
        </w:rPr>
        <w:t>This imbalance settlement harmonisation methodology contributes to the objective stated in Article 3(1)(c) of the EB Regulation for integrating balancing markets and promoting the possibilities for exchanges of balancing services, by harmonising the rules for settling the BRP imbalance, based on prices that will be the outcome of the European platforms for the exchange of balancing energy.</w:t>
      </w:r>
    </w:p>
    <w:p w14:paraId="46A329D5" w14:textId="77777777" w:rsidR="00030E75" w:rsidRPr="00030E75" w:rsidRDefault="00030E75" w:rsidP="001F4D8E">
      <w:pPr>
        <w:pStyle w:val="ListParagraph"/>
        <w:numPr>
          <w:ilvl w:val="0"/>
          <w:numId w:val="42"/>
        </w:numPr>
        <w:spacing w:after="120" w:line="259" w:lineRule="auto"/>
        <w:contextualSpacing w:val="0"/>
        <w:jc w:val="both"/>
        <w:rPr>
          <w:rStyle w:val="textregularZchn"/>
          <w:rFonts w:asciiTheme="minorHAnsi" w:hAnsiTheme="minorHAnsi" w:cstheme="minorHAnsi"/>
        </w:rPr>
      </w:pPr>
      <w:r w:rsidRPr="00030E75">
        <w:rPr>
          <w:rStyle w:val="textregularZchn"/>
          <w:rFonts w:asciiTheme="minorHAnsi" w:hAnsiTheme="minorHAnsi" w:cstheme="minorHAnsi"/>
        </w:rPr>
        <w:t>This imbalance settlement harmonisation methodology</w:t>
      </w:r>
      <w:r w:rsidRPr="00030E75" w:rsidDel="00AB2DAD">
        <w:rPr>
          <w:rStyle w:val="textregularZchn"/>
          <w:rFonts w:asciiTheme="minorHAnsi" w:hAnsiTheme="minorHAnsi" w:cstheme="minorHAnsi"/>
        </w:rPr>
        <w:t xml:space="preserve"> </w:t>
      </w:r>
      <w:r w:rsidRPr="00030E75">
        <w:rPr>
          <w:rStyle w:val="textregularZchn"/>
          <w:rFonts w:asciiTheme="minorHAnsi" w:hAnsiTheme="minorHAnsi" w:cstheme="minorHAnsi"/>
        </w:rPr>
        <w:t>contributes to the objective of consistent functioning of day-ahead, intraday and balancing markets as stated in Article 3(1)(d) of the EB Regulation, since the final commercial trade schedules are used for the calculation of the position of each BRP, which is then used as the basis for the calculation of the BRP imbalance.</w:t>
      </w:r>
    </w:p>
    <w:p w14:paraId="7C88BDD9" w14:textId="77777777" w:rsidR="00030E75" w:rsidRPr="00030E75" w:rsidRDefault="00030E75" w:rsidP="001F4D8E">
      <w:pPr>
        <w:pStyle w:val="ListParagraph"/>
        <w:numPr>
          <w:ilvl w:val="0"/>
          <w:numId w:val="42"/>
        </w:numPr>
        <w:spacing w:after="120" w:line="259" w:lineRule="auto"/>
        <w:contextualSpacing w:val="0"/>
        <w:jc w:val="both"/>
        <w:rPr>
          <w:rStyle w:val="textregularZchn"/>
          <w:rFonts w:asciiTheme="minorHAnsi" w:hAnsiTheme="minorHAnsi" w:cstheme="minorHAnsi"/>
        </w:rPr>
      </w:pPr>
      <w:r w:rsidRPr="00030E75">
        <w:rPr>
          <w:rStyle w:val="textregularZchn"/>
          <w:rFonts w:asciiTheme="minorHAnsi" w:hAnsiTheme="minorHAnsi" w:cstheme="minorHAnsi"/>
        </w:rPr>
        <w:t>This imbalance settlement harmonisation methodology</w:t>
      </w:r>
      <w:r w:rsidRPr="00030E75" w:rsidDel="00AB2DAD">
        <w:rPr>
          <w:rStyle w:val="textregularZchn"/>
          <w:rFonts w:asciiTheme="minorHAnsi" w:hAnsiTheme="minorHAnsi" w:cstheme="minorHAnsi"/>
        </w:rPr>
        <w:t xml:space="preserve"> </w:t>
      </w:r>
      <w:r w:rsidRPr="00030E75">
        <w:rPr>
          <w:rStyle w:val="textregularZchn"/>
          <w:rFonts w:asciiTheme="minorHAnsi" w:hAnsiTheme="minorHAnsi" w:cstheme="minorHAnsi"/>
        </w:rPr>
        <w:t xml:space="preserve">contributes to the objectives stated in Article 3(1)(e) of the EB Regulation, since the settlement methodology is fair, objective, transparent and avoids undue barriers to entry for new BRPs as it does not favour a specific technology or portfolio. Moreover, this imbalance settlement harmonisation methodology is market based, since the calculation of the imbalance price is based on the balancing energy price including the outputs of the activation optimisation function of the European platforms for the exchange of balancing energy, once they are implemented. </w:t>
      </w:r>
    </w:p>
    <w:p w14:paraId="24E81622" w14:textId="77777777" w:rsidR="00030E75" w:rsidRPr="00030E75" w:rsidRDefault="00030E75" w:rsidP="001F4D8E">
      <w:pPr>
        <w:pStyle w:val="ListParagraph"/>
        <w:numPr>
          <w:ilvl w:val="0"/>
          <w:numId w:val="42"/>
        </w:numPr>
        <w:spacing w:after="120" w:line="259" w:lineRule="auto"/>
        <w:contextualSpacing w:val="0"/>
        <w:jc w:val="both"/>
        <w:rPr>
          <w:rStyle w:val="textregularZchn"/>
          <w:rFonts w:asciiTheme="minorHAnsi" w:hAnsiTheme="minorHAnsi" w:cstheme="minorHAnsi"/>
        </w:rPr>
      </w:pPr>
      <w:r w:rsidRPr="00030E75">
        <w:rPr>
          <w:rStyle w:val="textregularZchn"/>
          <w:rFonts w:asciiTheme="minorHAnsi" w:hAnsiTheme="minorHAnsi" w:cstheme="minorHAnsi"/>
        </w:rPr>
        <w:t>The imbalance settlement harmonisation methodology</w:t>
      </w:r>
      <w:r w:rsidRPr="00030E75" w:rsidDel="00E73371">
        <w:rPr>
          <w:rStyle w:val="textregularZchn"/>
          <w:rFonts w:asciiTheme="minorHAnsi" w:hAnsiTheme="minorHAnsi" w:cstheme="minorHAnsi"/>
        </w:rPr>
        <w:t xml:space="preserve"> </w:t>
      </w:r>
      <w:r w:rsidRPr="00030E75">
        <w:rPr>
          <w:rStyle w:val="textregularZchn"/>
          <w:rFonts w:asciiTheme="minorHAnsi" w:hAnsiTheme="minorHAnsi" w:cstheme="minorHAnsi"/>
        </w:rPr>
        <w:t>serves the objective of facilitation of demand-side response and renewable energy sources in accordance with the EB Regulation Articles 3(1)(f) and 3(1)(g), by neither allowing nor introducing discriminatory requirements. Additionally, for self-dispatching models, the specification of single position per imbalance area and single imbalance pricing per imbalance price area serves to move towards a level playing field for small market players and renewables and is an important step when facilitating an efficient framework for aggregation and storage.</w:t>
      </w:r>
    </w:p>
    <w:p w14:paraId="3240D968" w14:textId="1024B0B8" w:rsidR="00030E75" w:rsidRDefault="00030E75" w:rsidP="00CF602D">
      <w:pPr>
        <w:spacing w:line="288" w:lineRule="auto"/>
        <w:jc w:val="both"/>
        <w:rPr>
          <w:rFonts w:ascii="Times New Roman" w:hAnsi="Times New Roman"/>
          <w:szCs w:val="22"/>
          <w:lang w:eastAsia="en-US"/>
        </w:rPr>
      </w:pPr>
      <w:bookmarkStart w:id="9" w:name="_Toc524958944"/>
      <w:bookmarkStart w:id="10" w:name="_Toc514772682"/>
      <w:bookmarkStart w:id="11" w:name="_Toc531122440"/>
      <w:bookmarkStart w:id="12" w:name="_Toc531123794"/>
      <w:bookmarkStart w:id="13" w:name="_Toc532477109"/>
      <w:bookmarkEnd w:id="8"/>
      <w:bookmarkEnd w:id="9"/>
      <w:bookmarkEnd w:id="10"/>
      <w:bookmarkEnd w:id="11"/>
      <w:bookmarkEnd w:id="12"/>
      <w:bookmarkEnd w:id="13"/>
      <w:r>
        <w:rPr>
          <w:rFonts w:ascii="Times New Roman" w:hAnsi="Times New Roman"/>
          <w:szCs w:val="22"/>
          <w:lang w:eastAsia="en-US"/>
        </w:rPr>
        <w:br w:type="page"/>
      </w:r>
    </w:p>
    <w:p w14:paraId="5BC2D3F9" w14:textId="77777777" w:rsidR="00844A97" w:rsidRPr="00217D52" w:rsidRDefault="00844A97" w:rsidP="00491F20">
      <w:pPr>
        <w:pStyle w:val="Artnr"/>
      </w:pPr>
      <w:bookmarkStart w:id="14" w:name="_Toc527965917"/>
      <w:bookmarkStart w:id="15" w:name="_Toc40801489"/>
      <w:bookmarkStart w:id="16" w:name="_Toc41647753"/>
      <w:r w:rsidRPr="00217D52">
        <w:lastRenderedPageBreak/>
        <w:t xml:space="preserve">TITLE </w:t>
      </w:r>
      <w:r>
        <w:t>I</w:t>
      </w:r>
      <w:r w:rsidRPr="00217D52">
        <w:br/>
        <w:t xml:space="preserve">General </w:t>
      </w:r>
      <w:r w:rsidRPr="00491F20">
        <w:t>provisions</w:t>
      </w:r>
      <w:bookmarkEnd w:id="14"/>
      <w:bookmarkEnd w:id="15"/>
      <w:bookmarkEnd w:id="16"/>
    </w:p>
    <w:p w14:paraId="3240D969" w14:textId="7C1049AF" w:rsidR="0050618F" w:rsidRPr="00491F20" w:rsidRDefault="00491F20" w:rsidP="00491F20">
      <w:pPr>
        <w:pStyle w:val="Artnr"/>
      </w:pPr>
      <w:bookmarkStart w:id="17" w:name="_Ref425330626"/>
      <w:bookmarkStart w:id="18" w:name="_Ref427939169"/>
      <w:bookmarkStart w:id="19" w:name="_Toc41647754"/>
      <w:r>
        <w:t>Article 1</w:t>
      </w:r>
      <w:r w:rsidR="002B0E8B" w:rsidRPr="00491F20">
        <w:br/>
      </w:r>
      <w:bookmarkStart w:id="20" w:name="_Ref25658717"/>
      <w:bookmarkStart w:id="21" w:name="_Ref25660208"/>
      <w:bookmarkStart w:id="22" w:name="_Ref25660495"/>
      <w:bookmarkStart w:id="23" w:name="_Ref25660680"/>
      <w:r w:rsidR="00EE1FAC" w:rsidRPr="00491F20">
        <w:t>Subject matter and scope</w:t>
      </w:r>
      <w:bookmarkEnd w:id="17"/>
      <w:bookmarkEnd w:id="18"/>
      <w:bookmarkEnd w:id="20"/>
      <w:bookmarkEnd w:id="21"/>
      <w:bookmarkEnd w:id="22"/>
      <w:bookmarkEnd w:id="23"/>
      <w:bookmarkEnd w:id="19"/>
    </w:p>
    <w:p w14:paraId="6392E2B2" w14:textId="77777777" w:rsidR="00491F20" w:rsidRPr="006F5D40" w:rsidRDefault="00491F20" w:rsidP="006F5D40">
      <w:pPr>
        <w:numPr>
          <w:ilvl w:val="0"/>
          <w:numId w:val="11"/>
        </w:numPr>
        <w:spacing w:after="120"/>
        <w:jc w:val="both"/>
        <w:rPr>
          <w:rFonts w:ascii="Times New Roman" w:hAnsi="Times New Roman"/>
        </w:rPr>
      </w:pPr>
      <w:r w:rsidRPr="006F5D40">
        <w:rPr>
          <w:rFonts w:ascii="Times New Roman" w:hAnsi="Times New Roman"/>
        </w:rPr>
        <w:t>The imbalance settlement harmonisation methodology</w:t>
      </w:r>
      <w:r w:rsidRPr="006F5D40" w:rsidDel="00E73371">
        <w:rPr>
          <w:rFonts w:ascii="Times New Roman" w:hAnsi="Times New Roman"/>
        </w:rPr>
        <w:t xml:space="preserve"> </w:t>
      </w:r>
      <w:r w:rsidRPr="006F5D40">
        <w:rPr>
          <w:rFonts w:ascii="Times New Roman" w:hAnsi="Times New Roman"/>
        </w:rPr>
        <w:t xml:space="preserve">shall apply to all imbalance areas and to all imbalance settlement periods and all system states defined in Article 18 of the Commission Regulation (EU) 2017/1485 establishing a guideline on electricity transmission system operation (hereafter referred to as the “SO Regulation”), except for those imbalance areas and imbalance settlement periods for which market activities have been suspended, pursuant to Article 35 </w:t>
      </w:r>
      <w:r w:rsidRPr="00BE6C2F">
        <w:rPr>
          <w:rFonts w:ascii="Times New Roman" w:hAnsi="Times New Roman"/>
        </w:rPr>
        <w:t xml:space="preserve">of the </w:t>
      </w:r>
      <w:r w:rsidRPr="006F5D40">
        <w:rPr>
          <w:rFonts w:ascii="Times New Roman" w:hAnsi="Times New Roman"/>
        </w:rPr>
        <w:t xml:space="preserve">Commission Regulation (EU) 2017/2196 establishing a network code on electricity emergency and restoration </w:t>
      </w:r>
      <w:r w:rsidRPr="00BE6C2F">
        <w:rPr>
          <w:rFonts w:ascii="Times New Roman" w:hAnsi="Times New Roman"/>
        </w:rPr>
        <w:t>(</w:t>
      </w:r>
      <w:r w:rsidRPr="006F5D40">
        <w:rPr>
          <w:rFonts w:ascii="Times New Roman" w:hAnsi="Times New Roman"/>
        </w:rPr>
        <w:t xml:space="preserve">hereafter referred to as the </w:t>
      </w:r>
      <w:r w:rsidRPr="00BE6C2F">
        <w:rPr>
          <w:rFonts w:ascii="Times New Roman" w:hAnsi="Times New Roman"/>
        </w:rPr>
        <w:t>“ER Regulation”)</w:t>
      </w:r>
      <w:r w:rsidRPr="006F5D40">
        <w:rPr>
          <w:rFonts w:ascii="Times New Roman" w:hAnsi="Times New Roman"/>
        </w:rPr>
        <w:t>. This is without prejudice to the national methodologies pursuant to Article 39(1) of the ER Regulation which may apply this imbalance settlement harmonisation methodology during imbalance settlement periods for which market activities have been suspended.</w:t>
      </w:r>
    </w:p>
    <w:p w14:paraId="150FA7D9" w14:textId="40D5A449" w:rsidR="00491F20" w:rsidRPr="006F5D40" w:rsidRDefault="00491F20" w:rsidP="006F5D40">
      <w:pPr>
        <w:numPr>
          <w:ilvl w:val="0"/>
          <w:numId w:val="11"/>
        </w:numPr>
        <w:spacing w:after="120"/>
        <w:jc w:val="both"/>
        <w:rPr>
          <w:rFonts w:ascii="Times New Roman" w:hAnsi="Times New Roman"/>
        </w:rPr>
      </w:pPr>
      <w:r w:rsidRPr="00202338">
        <w:rPr>
          <w:rFonts w:ascii="Times New Roman" w:hAnsi="Times New Roman"/>
        </w:rPr>
        <w:t>An imbalance price area, as delineated in each Member State’s terms and conditions for BRPs, shall be equal to one or more imbalance areas as delineated by a single TSO, or a combination of imbalance areas delineated by different TSOs within a bidding zone</w:t>
      </w:r>
      <w:r w:rsidRPr="00217D52">
        <w:rPr>
          <w:rFonts w:ascii="Times New Roman" w:hAnsi="Times New Roman"/>
        </w:rPr>
        <w:t>. Each imbalance price area shall be equal to a bidding zone, except in the case of a central dispatching model where an imbalance price area may constitute a part of a bidding zone, pursuant to Article 6(6) of the Electricity Regulation. In this case, the imbalance pri</w:t>
      </w:r>
      <w:r>
        <w:rPr>
          <w:rFonts w:ascii="Times New Roman" w:hAnsi="Times New Roman"/>
        </w:rPr>
        <w:t>c</w:t>
      </w:r>
      <w:r w:rsidRPr="00217D52">
        <w:rPr>
          <w:rFonts w:ascii="Times New Roman" w:hAnsi="Times New Roman"/>
        </w:rPr>
        <w:t>e areas can be aggregated for the calculation of the imbalance price</w:t>
      </w:r>
      <w:r>
        <w:rPr>
          <w:rFonts w:ascii="Times New Roman" w:hAnsi="Times New Roman"/>
        </w:rPr>
        <w:t>, for the definition of the total system imbalances, and any reference to an imbalance price area can refer to an aggregate of imbalance price areas</w:t>
      </w:r>
      <w:r w:rsidRPr="00217D52">
        <w:rPr>
          <w:rFonts w:ascii="Times New Roman" w:hAnsi="Times New Roman"/>
        </w:rPr>
        <w:t>.</w:t>
      </w:r>
      <w:r>
        <w:rPr>
          <w:rFonts w:ascii="Times New Roman" w:hAnsi="Times New Roman"/>
        </w:rPr>
        <w:t xml:space="preserve"> </w:t>
      </w:r>
      <w:r w:rsidRPr="006F5D40">
        <w:rPr>
          <w:rFonts w:ascii="Times New Roman" w:hAnsi="Times New Roman"/>
        </w:rPr>
        <w:t>Where more than one TSO belong to the same imbalance price area, and in case any of these TSOs has appointed one of the other TSOs to calculate the imbalance price for this imbalance price area, each reference to a TSO in Title III of this imbalance settlement harmonisation methodology shall be understood as reference to this appointed TSO.</w:t>
      </w:r>
    </w:p>
    <w:p w14:paraId="3240D971" w14:textId="4AC81ECC" w:rsidR="0050618F" w:rsidRPr="00F70393" w:rsidRDefault="00491F20" w:rsidP="000D4318">
      <w:pPr>
        <w:pStyle w:val="Artnr"/>
      </w:pPr>
      <w:bookmarkStart w:id="24" w:name="_Toc41647755"/>
      <w:r>
        <w:rPr>
          <w:lang w:eastAsia="en-US"/>
        </w:rPr>
        <w:t>Article 2</w:t>
      </w:r>
      <w:r w:rsidR="0050618F" w:rsidRPr="00F70393">
        <w:rPr>
          <w:lang w:eastAsia="en-US"/>
        </w:rPr>
        <w:br/>
      </w:r>
      <w:r w:rsidR="0050618F" w:rsidRPr="00F70393">
        <w:t>Definitions and interpretation</w:t>
      </w:r>
      <w:bookmarkEnd w:id="24"/>
    </w:p>
    <w:p w14:paraId="61780A8C" w14:textId="77777777" w:rsidR="00491F20" w:rsidRPr="006F5D40" w:rsidRDefault="00491F20" w:rsidP="001F4D8E">
      <w:pPr>
        <w:numPr>
          <w:ilvl w:val="0"/>
          <w:numId w:val="47"/>
        </w:numPr>
        <w:spacing w:after="120"/>
        <w:jc w:val="both"/>
        <w:rPr>
          <w:rFonts w:ascii="Times New Roman" w:hAnsi="Times New Roman"/>
        </w:rPr>
      </w:pPr>
      <w:r w:rsidRPr="006F5D40">
        <w:rPr>
          <w:rFonts w:ascii="Times New Roman" w:hAnsi="Times New Roman"/>
        </w:rPr>
        <w:t xml:space="preserve">For the purposes of the imbalance settlement harmonisation methodology, terms used in this document shall have the meaning of the definitions included in Article 2 of the EB Regulation, of the Regulation (EU) 2019/943 (hereafter referred to as the “Electricity Regulation”), of the Directive (EU) 2019/944, the Commission Regulation (EU) No 543/2013, </w:t>
      </w:r>
      <w:r w:rsidRPr="00F526D6">
        <w:rPr>
          <w:rFonts w:ascii="Times New Roman" w:hAnsi="Times New Roman"/>
        </w:rPr>
        <w:t>the Commission Regulation (EU) 2015/1222 establishing a guideline on capacity allocation and congestion management (hereafter referred to as the “CACM Regulation”)</w:t>
      </w:r>
      <w:r w:rsidRPr="006F5D40">
        <w:rPr>
          <w:rFonts w:ascii="Times New Roman" w:hAnsi="Times New Roman"/>
        </w:rPr>
        <w:t xml:space="preserve">, and in Article 3 of the SO Regulation and of the ER </w:t>
      </w:r>
      <w:r w:rsidRPr="00F526D6">
        <w:rPr>
          <w:rFonts w:ascii="Times New Roman" w:hAnsi="Times New Roman"/>
        </w:rPr>
        <w:t>Regulation</w:t>
      </w:r>
      <w:r w:rsidRPr="006F5D40">
        <w:rPr>
          <w:rFonts w:ascii="Times New Roman" w:hAnsi="Times New Roman"/>
        </w:rPr>
        <w:t>.</w:t>
      </w:r>
    </w:p>
    <w:p w14:paraId="55397BDE" w14:textId="77777777" w:rsidR="00491F20" w:rsidRPr="006F5D40" w:rsidRDefault="00491F20" w:rsidP="001F4D8E">
      <w:pPr>
        <w:numPr>
          <w:ilvl w:val="0"/>
          <w:numId w:val="47"/>
        </w:numPr>
        <w:spacing w:after="120"/>
        <w:jc w:val="both"/>
        <w:rPr>
          <w:rFonts w:ascii="Times New Roman" w:hAnsi="Times New Roman"/>
        </w:rPr>
      </w:pPr>
      <w:r w:rsidRPr="006F5D40">
        <w:rPr>
          <w:rFonts w:ascii="Times New Roman" w:hAnsi="Times New Roman"/>
        </w:rPr>
        <w:t xml:space="preserve">In addition, in the imbalance settlement harmonisation methodology, the following terms shall have the meaning below: </w:t>
      </w:r>
    </w:p>
    <w:p w14:paraId="7CD76B24" w14:textId="7DE62135" w:rsidR="00491F20" w:rsidRDefault="00491F20" w:rsidP="001F4D8E">
      <w:pPr>
        <w:pStyle w:val="Paragraph"/>
        <w:numPr>
          <w:ilvl w:val="0"/>
          <w:numId w:val="43"/>
        </w:numPr>
      </w:pPr>
      <w:r>
        <w:t>'single imbalance pricing' means that, for a given ISP in a given imbalance price area, the price for negative imbalance and the price for positive imbalance are equal in sign and size;</w:t>
      </w:r>
    </w:p>
    <w:p w14:paraId="6F362D33" w14:textId="77777777" w:rsidR="00491F20" w:rsidRDefault="00491F20" w:rsidP="001F4D8E">
      <w:pPr>
        <w:pStyle w:val="Paragraph"/>
        <w:numPr>
          <w:ilvl w:val="0"/>
          <w:numId w:val="43"/>
        </w:numPr>
      </w:pPr>
      <w:r>
        <w:t>'dual imbalance pricing' means that, for a given ISP in a given imbalance price area, the price for negative imbalance is not equal to the price for positive imbalance in sign and/or size;</w:t>
      </w:r>
    </w:p>
    <w:p w14:paraId="0C70F7BD" w14:textId="77777777" w:rsidR="00491F20" w:rsidRDefault="00491F20" w:rsidP="001F4D8E">
      <w:pPr>
        <w:pStyle w:val="Paragraph"/>
        <w:numPr>
          <w:ilvl w:val="0"/>
          <w:numId w:val="43"/>
        </w:numPr>
      </w:pPr>
      <w:r>
        <w:t>‘scheduling unit’ means a unit representing a power generation module, a demand facility or a group of power generating modules and/or demand facilities which is used in the integrated scheduling process to reflect locations of these assets when needed for which a position, an imbalance adjustment, an allocated volume, an imbalance and an imbalance settlement based on imbalance price formulation are determined in a central dispatching model;</w:t>
      </w:r>
    </w:p>
    <w:p w14:paraId="64DCCB06" w14:textId="77777777" w:rsidR="00491F20" w:rsidRDefault="00491F20" w:rsidP="001F4D8E">
      <w:pPr>
        <w:pStyle w:val="Paragraph"/>
        <w:numPr>
          <w:ilvl w:val="0"/>
          <w:numId w:val="43"/>
        </w:numPr>
      </w:pPr>
      <w:r>
        <w:lastRenderedPageBreak/>
        <w:t>‘value of avoided activation’ means a reference price that can be calculated by the TSO or TSOs of a given imbalance price area after the balancing energy gate closure time for a given ISP, at least when there is no balancing energy demand for that imbalance price area for that ISP or no balancing energy activation for that imbalance price area for that ISP.</w:t>
      </w:r>
    </w:p>
    <w:p w14:paraId="66B65967" w14:textId="77777777" w:rsidR="00491F20" w:rsidRPr="006F5D40" w:rsidRDefault="00491F20" w:rsidP="001F4D8E">
      <w:pPr>
        <w:numPr>
          <w:ilvl w:val="0"/>
          <w:numId w:val="47"/>
        </w:numPr>
        <w:spacing w:after="120"/>
        <w:jc w:val="both"/>
        <w:rPr>
          <w:rFonts w:ascii="Times New Roman" w:hAnsi="Times New Roman"/>
        </w:rPr>
      </w:pPr>
      <w:r w:rsidRPr="006F5D40">
        <w:rPr>
          <w:rFonts w:ascii="Times New Roman" w:hAnsi="Times New Roman"/>
        </w:rPr>
        <w:t xml:space="preserve">In the imbalance settlement harmonisation methodology, unless the context requires otherwise: </w:t>
      </w:r>
    </w:p>
    <w:p w14:paraId="7C90AC7D" w14:textId="77777777" w:rsidR="00491F20" w:rsidRPr="00491F20" w:rsidRDefault="00491F20" w:rsidP="001F4D8E">
      <w:pPr>
        <w:pStyle w:val="ListParagraph"/>
        <w:numPr>
          <w:ilvl w:val="0"/>
          <w:numId w:val="44"/>
        </w:numPr>
        <w:spacing w:after="120" w:line="252" w:lineRule="auto"/>
        <w:contextualSpacing w:val="0"/>
        <w:jc w:val="both"/>
        <w:rPr>
          <w:rFonts w:asciiTheme="minorHAnsi" w:eastAsiaTheme="minorHAnsi" w:hAnsiTheme="minorHAnsi" w:cstheme="minorBidi"/>
          <w:szCs w:val="22"/>
          <w:lang w:eastAsia="en-US"/>
        </w:rPr>
      </w:pPr>
      <w:r w:rsidRPr="00491F20">
        <w:rPr>
          <w:rFonts w:asciiTheme="minorHAnsi" w:eastAsiaTheme="minorHAnsi" w:hAnsiTheme="minorHAnsi" w:cstheme="minorBidi"/>
          <w:szCs w:val="22"/>
          <w:lang w:eastAsia="en-US"/>
        </w:rPr>
        <w:t>the singular indicates the plural and vice versa;</w:t>
      </w:r>
    </w:p>
    <w:p w14:paraId="55364313" w14:textId="77777777" w:rsidR="00491F20" w:rsidRPr="00491F20" w:rsidRDefault="00491F20" w:rsidP="001F4D8E">
      <w:pPr>
        <w:pStyle w:val="ListParagraph"/>
        <w:numPr>
          <w:ilvl w:val="0"/>
          <w:numId w:val="44"/>
        </w:numPr>
        <w:spacing w:after="120" w:line="252" w:lineRule="auto"/>
        <w:contextualSpacing w:val="0"/>
        <w:jc w:val="both"/>
        <w:rPr>
          <w:rFonts w:asciiTheme="minorHAnsi" w:eastAsiaTheme="minorHAnsi" w:hAnsiTheme="minorHAnsi" w:cstheme="minorBidi"/>
          <w:szCs w:val="22"/>
          <w:lang w:eastAsia="en-US"/>
        </w:rPr>
      </w:pPr>
      <w:r w:rsidRPr="00491F20">
        <w:rPr>
          <w:rFonts w:asciiTheme="minorHAnsi" w:eastAsiaTheme="minorHAnsi" w:hAnsiTheme="minorHAnsi" w:cstheme="minorBidi"/>
          <w:szCs w:val="22"/>
          <w:lang w:eastAsia="en-US"/>
        </w:rPr>
        <w:t>the notation 'EUR/MWh' stands for the locally applicable currency unit per MWh;</w:t>
      </w:r>
    </w:p>
    <w:p w14:paraId="1DB81FEC" w14:textId="77777777" w:rsidR="00491F20" w:rsidRPr="00491F20" w:rsidRDefault="00491F20" w:rsidP="001F4D8E">
      <w:pPr>
        <w:pStyle w:val="ListParagraph"/>
        <w:numPr>
          <w:ilvl w:val="0"/>
          <w:numId w:val="44"/>
        </w:numPr>
        <w:spacing w:after="120" w:line="252" w:lineRule="auto"/>
        <w:contextualSpacing w:val="0"/>
        <w:jc w:val="both"/>
        <w:rPr>
          <w:rFonts w:asciiTheme="minorHAnsi" w:eastAsiaTheme="minorHAnsi" w:hAnsiTheme="minorHAnsi" w:cstheme="minorBidi"/>
          <w:szCs w:val="22"/>
          <w:lang w:eastAsia="en-US"/>
        </w:rPr>
      </w:pPr>
      <w:r w:rsidRPr="00491F20">
        <w:rPr>
          <w:rFonts w:asciiTheme="minorHAnsi" w:eastAsiaTheme="minorHAnsi" w:hAnsiTheme="minorHAnsi" w:cstheme="minorBidi"/>
          <w:szCs w:val="22"/>
          <w:lang w:eastAsia="en-US"/>
        </w:rPr>
        <w:t xml:space="preserve">the table of contents and headings are inserted for convenience only and do not affect the interpretation of the imbalance settlement harmonisation methodology; </w:t>
      </w:r>
    </w:p>
    <w:p w14:paraId="3BAD696A" w14:textId="77777777" w:rsidR="00491F20" w:rsidRPr="00491F20" w:rsidRDefault="00491F20" w:rsidP="001F4D8E">
      <w:pPr>
        <w:pStyle w:val="ListParagraph"/>
        <w:numPr>
          <w:ilvl w:val="0"/>
          <w:numId w:val="44"/>
        </w:numPr>
        <w:spacing w:after="120" w:line="252" w:lineRule="auto"/>
        <w:contextualSpacing w:val="0"/>
        <w:jc w:val="both"/>
        <w:rPr>
          <w:rFonts w:asciiTheme="minorHAnsi" w:eastAsiaTheme="minorHAnsi" w:hAnsiTheme="minorHAnsi" w:cstheme="minorBidi"/>
          <w:szCs w:val="22"/>
          <w:lang w:eastAsia="en-US"/>
        </w:rPr>
      </w:pPr>
      <w:r w:rsidRPr="00491F20">
        <w:rPr>
          <w:rFonts w:asciiTheme="minorHAnsi" w:eastAsiaTheme="minorHAnsi" w:hAnsiTheme="minorHAnsi" w:cstheme="minorBidi"/>
          <w:szCs w:val="22"/>
          <w:lang w:eastAsia="en-US"/>
        </w:rPr>
        <w:t>any reference to legislation, regulations, directive, order, instrument, code or any other enactment shall include any modification, extension or re-enactment of it when in force;</w:t>
      </w:r>
    </w:p>
    <w:p w14:paraId="06B1E8B2" w14:textId="26FD981E" w:rsidR="00491F20" w:rsidRDefault="00491F20" w:rsidP="001F4D8E">
      <w:pPr>
        <w:pStyle w:val="ListParagraph"/>
        <w:numPr>
          <w:ilvl w:val="0"/>
          <w:numId w:val="44"/>
        </w:numPr>
        <w:spacing w:after="120" w:line="252" w:lineRule="auto"/>
        <w:contextualSpacing w:val="0"/>
        <w:jc w:val="both"/>
        <w:rPr>
          <w:rFonts w:asciiTheme="minorHAnsi" w:eastAsiaTheme="minorHAnsi" w:hAnsiTheme="minorHAnsi" w:cstheme="minorBidi"/>
          <w:szCs w:val="22"/>
          <w:lang w:eastAsia="en-US"/>
        </w:rPr>
      </w:pPr>
      <w:r w:rsidRPr="00491F20">
        <w:rPr>
          <w:rFonts w:asciiTheme="minorHAnsi" w:eastAsiaTheme="minorHAnsi" w:hAnsiTheme="minorHAnsi" w:cstheme="minorBidi"/>
          <w:szCs w:val="22"/>
          <w:lang w:eastAsia="en-US"/>
        </w:rPr>
        <w:t>any reference to an Article without an indication of the document shall mean a reference to the imbalance settlement harmonisation methodology.</w:t>
      </w:r>
    </w:p>
    <w:p w14:paraId="69C170AA" w14:textId="77777777" w:rsidR="00491F20" w:rsidRPr="00491F20" w:rsidRDefault="00491F20" w:rsidP="00491F20">
      <w:pPr>
        <w:spacing w:after="120" w:line="252" w:lineRule="auto"/>
        <w:jc w:val="both"/>
        <w:rPr>
          <w:rFonts w:asciiTheme="minorHAnsi" w:eastAsiaTheme="minorHAnsi" w:hAnsiTheme="minorHAnsi" w:cstheme="minorBidi"/>
          <w:szCs w:val="22"/>
          <w:lang w:eastAsia="en-US"/>
        </w:rPr>
      </w:pPr>
    </w:p>
    <w:p w14:paraId="2CD805F7" w14:textId="6B79494A" w:rsidR="00491F20" w:rsidRPr="00217D52" w:rsidRDefault="00491F20" w:rsidP="00491F20">
      <w:pPr>
        <w:pStyle w:val="Artnr"/>
      </w:pPr>
      <w:bookmarkStart w:id="25" w:name="_Toc513039773"/>
      <w:bookmarkStart w:id="26" w:name="_Toc527965920"/>
      <w:bookmarkStart w:id="27" w:name="_Toc513821414"/>
      <w:bookmarkStart w:id="28" w:name="_Toc432586772"/>
      <w:bookmarkStart w:id="29" w:name="_Toc432586792"/>
      <w:bookmarkStart w:id="30" w:name="_Toc40801492"/>
      <w:bookmarkStart w:id="31" w:name="_Toc41647756"/>
      <w:r w:rsidRPr="00217D52">
        <w:t xml:space="preserve">TITLE </w:t>
      </w:r>
      <w:r>
        <w:t>II</w:t>
      </w:r>
      <w:r w:rsidRPr="00217D52">
        <w:br/>
        <w:t xml:space="preserve">Specification and harmonisation of imbalance </w:t>
      </w:r>
      <w:bookmarkEnd w:id="25"/>
      <w:bookmarkEnd w:id="26"/>
      <w:bookmarkEnd w:id="27"/>
      <w:bookmarkEnd w:id="28"/>
      <w:bookmarkEnd w:id="29"/>
      <w:r w:rsidRPr="00217D52">
        <w:t>calculation</w:t>
      </w:r>
      <w:bookmarkEnd w:id="30"/>
      <w:bookmarkEnd w:id="31"/>
    </w:p>
    <w:p w14:paraId="7669A1FB" w14:textId="77777777" w:rsidR="00491F20" w:rsidRPr="00217D52" w:rsidRDefault="00491F20" w:rsidP="00491F20">
      <w:pPr>
        <w:pStyle w:val="Artnr"/>
      </w:pPr>
      <w:bookmarkStart w:id="32" w:name="_Toc40801493"/>
      <w:bookmarkStart w:id="33" w:name="_Toc41647757"/>
      <w:r w:rsidRPr="00217D52">
        <w:t>Article 3</w:t>
      </w:r>
      <w:r w:rsidRPr="00217D52">
        <w:br/>
        <w:t>The calculation of a position</w:t>
      </w:r>
      <w:bookmarkEnd w:id="32"/>
      <w:bookmarkEnd w:id="33"/>
    </w:p>
    <w:p w14:paraId="02A86052" w14:textId="77777777" w:rsidR="00AA4341" w:rsidRPr="00F526D6" w:rsidRDefault="00AA4341" w:rsidP="001F4D8E">
      <w:pPr>
        <w:numPr>
          <w:ilvl w:val="0"/>
          <w:numId w:val="48"/>
        </w:numPr>
        <w:spacing w:after="120"/>
        <w:jc w:val="both"/>
        <w:rPr>
          <w:rFonts w:ascii="Times New Roman" w:hAnsi="Times New Roman"/>
        </w:rPr>
      </w:pPr>
      <w:r w:rsidRPr="00F526D6">
        <w:rPr>
          <w:rFonts w:ascii="Times New Roman" w:hAnsi="Times New Roman"/>
        </w:rPr>
        <w:t>Each connecting TSO applying a self-dispatching model shall calculate in each imbalance area for each ISP one single final position for each BRP as equal to the sum of its external and internal commercial trade schedules pursuant Article 54(3)(a) of the EB Regulation.</w:t>
      </w:r>
    </w:p>
    <w:p w14:paraId="1083D0AE" w14:textId="77777777" w:rsidR="00AA4341" w:rsidRPr="006F5D40" w:rsidRDefault="00AA4341" w:rsidP="001F4D8E">
      <w:pPr>
        <w:numPr>
          <w:ilvl w:val="0"/>
          <w:numId w:val="48"/>
        </w:numPr>
        <w:spacing w:after="120"/>
        <w:jc w:val="both"/>
        <w:rPr>
          <w:rFonts w:ascii="Times New Roman" w:hAnsi="Times New Roman"/>
        </w:rPr>
      </w:pPr>
      <w:r w:rsidRPr="00F526D6">
        <w:rPr>
          <w:rFonts w:ascii="Times New Roman" w:hAnsi="Times New Roman"/>
        </w:rPr>
        <w:t xml:space="preserve">Each connecting TSO applying a central dispatching model shall calculate, in each imbalance area for each ISP, one single final position for each scheduling unit of each BRP as equal to the sum of scheduling unit’s external and internal commercial trade schedules </w:t>
      </w:r>
      <w:r w:rsidRPr="00F526D6" w:rsidDel="00DD77CB">
        <w:rPr>
          <w:rFonts w:ascii="Times New Roman" w:hAnsi="Times New Roman"/>
        </w:rPr>
        <w:t xml:space="preserve">pursuant to Article 54(3)(c) of the </w:t>
      </w:r>
      <w:r w:rsidRPr="00F526D6">
        <w:rPr>
          <w:rFonts w:ascii="Times New Roman" w:hAnsi="Times New Roman"/>
        </w:rPr>
        <w:t>EB Regulation.</w:t>
      </w:r>
    </w:p>
    <w:p w14:paraId="3240D9CC" w14:textId="180F9A7A" w:rsidR="00450FF1" w:rsidRDefault="006F5D40" w:rsidP="006D1ED6">
      <w:pPr>
        <w:pStyle w:val="Artnr"/>
      </w:pPr>
      <w:bookmarkStart w:id="34" w:name="_Toc41647758"/>
      <w:bookmarkStart w:id="35" w:name="_Ref513546840"/>
      <w:r>
        <w:rPr>
          <w:rFonts w:asciiTheme="minorHAnsi" w:hAnsiTheme="minorHAnsi" w:cstheme="minorHAnsi"/>
        </w:rPr>
        <w:t>Article 4</w:t>
      </w:r>
      <w:r w:rsidR="0079180C" w:rsidRPr="00F70393">
        <w:rPr>
          <w:rFonts w:asciiTheme="minorHAnsi" w:hAnsiTheme="minorHAnsi" w:cstheme="minorHAnsi"/>
        </w:rPr>
        <w:br/>
      </w:r>
      <w:r w:rsidRPr="00217D52">
        <w:t>The calculation of an allocated volume</w:t>
      </w:r>
      <w:bookmarkEnd w:id="34"/>
    </w:p>
    <w:p w14:paraId="53788E68" w14:textId="77777777" w:rsidR="006F5D40" w:rsidRPr="00F526D6" w:rsidRDefault="006F5D40" w:rsidP="001F4D8E">
      <w:pPr>
        <w:numPr>
          <w:ilvl w:val="0"/>
          <w:numId w:val="49"/>
        </w:numPr>
        <w:spacing w:after="120"/>
        <w:jc w:val="both"/>
        <w:rPr>
          <w:rFonts w:ascii="Times New Roman" w:hAnsi="Times New Roman"/>
        </w:rPr>
      </w:pPr>
      <w:r w:rsidRPr="00F526D6">
        <w:rPr>
          <w:rFonts w:ascii="Times New Roman" w:hAnsi="Times New Roman"/>
        </w:rPr>
        <w:t>Each connecting TSO shall calculate the total allocated volume to each BRP in case of self-dispatching model, or to each scheduling unit of concerned BRP in case of central dispatching model, in each imbalance area for each ISP, over all injections and withdrawals for which the BRP is financially responsible in accordance with Article 17(2) of the EB Regulation, as the netted volume of:</w:t>
      </w:r>
    </w:p>
    <w:p w14:paraId="52FC1342" w14:textId="77777777" w:rsidR="006F5D40" w:rsidRPr="006F5D40" w:rsidRDefault="006F5D40" w:rsidP="001F4D8E">
      <w:pPr>
        <w:pStyle w:val="Paragraph"/>
        <w:numPr>
          <w:ilvl w:val="0"/>
          <w:numId w:val="45"/>
        </w:numPr>
      </w:pPr>
      <w:r w:rsidRPr="006F5D40">
        <w:t xml:space="preserve">the volumes or aggregated volumes that are metered with a granularity of the ISP for the connections to a TSO grid; </w:t>
      </w:r>
    </w:p>
    <w:p w14:paraId="2B7B9EE6" w14:textId="77777777" w:rsidR="006F5D40" w:rsidRPr="006F5D40" w:rsidRDefault="006F5D40" w:rsidP="001F4D8E">
      <w:pPr>
        <w:pStyle w:val="ListParagraph"/>
        <w:numPr>
          <w:ilvl w:val="0"/>
          <w:numId w:val="44"/>
        </w:numPr>
        <w:spacing w:after="120" w:line="252" w:lineRule="auto"/>
        <w:contextualSpacing w:val="0"/>
        <w:jc w:val="both"/>
        <w:rPr>
          <w:rFonts w:asciiTheme="minorHAnsi" w:eastAsiaTheme="minorHAnsi" w:hAnsiTheme="minorHAnsi" w:cstheme="minorBidi"/>
          <w:szCs w:val="22"/>
          <w:lang w:eastAsia="en-US"/>
        </w:rPr>
      </w:pPr>
      <w:r w:rsidRPr="006F5D40">
        <w:rPr>
          <w:rFonts w:asciiTheme="minorHAnsi" w:eastAsiaTheme="minorHAnsi" w:hAnsiTheme="minorHAnsi" w:cstheme="minorBidi"/>
          <w:szCs w:val="22"/>
          <w:lang w:eastAsia="en-US"/>
        </w:rPr>
        <w:t xml:space="preserve">the volumes or aggregated volumes that are metered with a granularity of the ISP for the connections to a DSO grid; </w:t>
      </w:r>
    </w:p>
    <w:p w14:paraId="408BA1D1" w14:textId="77777777" w:rsidR="006F5D40" w:rsidRPr="006F5D40" w:rsidRDefault="006F5D40" w:rsidP="001F4D8E">
      <w:pPr>
        <w:pStyle w:val="ListParagraph"/>
        <w:numPr>
          <w:ilvl w:val="0"/>
          <w:numId w:val="44"/>
        </w:numPr>
        <w:spacing w:after="120" w:line="252" w:lineRule="auto"/>
        <w:contextualSpacing w:val="0"/>
        <w:jc w:val="both"/>
        <w:rPr>
          <w:rFonts w:asciiTheme="minorHAnsi" w:eastAsiaTheme="minorHAnsi" w:hAnsiTheme="minorHAnsi" w:cstheme="minorBidi"/>
          <w:szCs w:val="22"/>
          <w:lang w:eastAsia="en-US"/>
        </w:rPr>
      </w:pPr>
      <w:r w:rsidRPr="006F5D40">
        <w:rPr>
          <w:rFonts w:asciiTheme="minorHAnsi" w:eastAsiaTheme="minorHAnsi" w:hAnsiTheme="minorHAnsi" w:cstheme="minorBidi"/>
          <w:szCs w:val="22"/>
          <w:lang w:eastAsia="en-US"/>
        </w:rPr>
        <w:t xml:space="preserve">the aggregated volumes that are not metered with a granularity of the ISP; </w:t>
      </w:r>
    </w:p>
    <w:p w14:paraId="47CB949C" w14:textId="77777777" w:rsidR="006F5D40" w:rsidRPr="006F5D40" w:rsidRDefault="006F5D40" w:rsidP="001F4D8E">
      <w:pPr>
        <w:pStyle w:val="ListParagraph"/>
        <w:numPr>
          <w:ilvl w:val="0"/>
          <w:numId w:val="44"/>
        </w:numPr>
        <w:spacing w:after="120" w:line="252" w:lineRule="auto"/>
        <w:contextualSpacing w:val="0"/>
        <w:jc w:val="both"/>
        <w:rPr>
          <w:rFonts w:asciiTheme="minorHAnsi" w:eastAsiaTheme="minorHAnsi" w:hAnsiTheme="minorHAnsi" w:cstheme="minorBidi"/>
          <w:szCs w:val="22"/>
          <w:lang w:eastAsia="en-US"/>
        </w:rPr>
      </w:pPr>
      <w:r w:rsidRPr="006F5D40">
        <w:rPr>
          <w:rFonts w:asciiTheme="minorHAnsi" w:eastAsiaTheme="minorHAnsi" w:hAnsiTheme="minorHAnsi" w:cstheme="minorBidi"/>
          <w:szCs w:val="22"/>
          <w:lang w:eastAsia="en-US"/>
        </w:rPr>
        <w:t xml:space="preserve">where applicable, according to each Member State's terms and conditions for BRPs, all corrections to points (a), (b) and (c) of this paragraph that constitute the volumes assigned per </w:t>
      </w:r>
      <w:r w:rsidRPr="006F5D40">
        <w:rPr>
          <w:rFonts w:asciiTheme="minorHAnsi" w:eastAsiaTheme="minorHAnsi" w:hAnsiTheme="minorHAnsi" w:cstheme="minorBidi"/>
          <w:szCs w:val="22"/>
          <w:lang w:eastAsia="en-US"/>
        </w:rPr>
        <w:lastRenderedPageBreak/>
        <w:t>ISP to market participants bearing balance responsibility or that have contractually delegated their balance responsibility to a BRP of their choice; and</w:t>
      </w:r>
    </w:p>
    <w:p w14:paraId="6810FBA9" w14:textId="77777777" w:rsidR="006F5D40" w:rsidRPr="006F5D40" w:rsidRDefault="006F5D40" w:rsidP="001F4D8E">
      <w:pPr>
        <w:pStyle w:val="ListParagraph"/>
        <w:numPr>
          <w:ilvl w:val="0"/>
          <w:numId w:val="44"/>
        </w:numPr>
        <w:spacing w:after="120" w:line="252" w:lineRule="auto"/>
        <w:contextualSpacing w:val="0"/>
        <w:jc w:val="both"/>
        <w:rPr>
          <w:rFonts w:asciiTheme="minorHAnsi" w:eastAsiaTheme="minorHAnsi" w:hAnsiTheme="minorHAnsi" w:cstheme="minorBidi"/>
          <w:szCs w:val="22"/>
          <w:lang w:eastAsia="en-US"/>
        </w:rPr>
      </w:pPr>
      <w:r w:rsidRPr="006F5D40">
        <w:rPr>
          <w:rFonts w:asciiTheme="minorHAnsi" w:eastAsiaTheme="minorHAnsi" w:hAnsiTheme="minorHAnsi" w:cstheme="minorBidi"/>
          <w:szCs w:val="22"/>
          <w:lang w:eastAsia="en-US"/>
        </w:rPr>
        <w:t>where applicable, according to each Member State's terms and conditions for BRPs, the aggregated volumes related to all residual energies resulting from incorrect or incomplete allocations of the volumes of point (a) and (b) and resulting from the allocation of the volumes of point (c) on the basis of predefined profiles or grid losses.</w:t>
      </w:r>
    </w:p>
    <w:p w14:paraId="6E937E2C" w14:textId="77777777" w:rsidR="006F5D40" w:rsidRPr="00F526D6" w:rsidRDefault="006F5D40" w:rsidP="001F4D8E">
      <w:pPr>
        <w:numPr>
          <w:ilvl w:val="0"/>
          <w:numId w:val="49"/>
        </w:numPr>
        <w:spacing w:after="120"/>
        <w:jc w:val="both"/>
        <w:rPr>
          <w:rFonts w:ascii="Times New Roman" w:hAnsi="Times New Roman"/>
        </w:rPr>
      </w:pPr>
      <w:r w:rsidRPr="00F526D6">
        <w:rPr>
          <w:rFonts w:ascii="Times New Roman" w:hAnsi="Times New Roman"/>
        </w:rPr>
        <w:t>When required by each Member State's terms and conditions for BRPs, the volumes or aggregated volumes in accordance with Articles 4(1)(b), 4(1)(c), 4(1)(d) and 4(1)(e) shall be delivered to the connecting TSO by the relevant DSO in accordance with Article 15(2) of the EB Regulation, or by other parties, if specified in the Member State's terms and conditions for BRPs pursuant to Article 18(6)(d) of the EB Regulation</w:t>
      </w:r>
      <w:r w:rsidRPr="006F5D40" w:rsidDel="00280126">
        <w:rPr>
          <w:rFonts w:ascii="Times New Roman" w:hAnsi="Times New Roman"/>
        </w:rPr>
        <w:t xml:space="preserve"> </w:t>
      </w:r>
      <w:r w:rsidRPr="00F526D6">
        <w:rPr>
          <w:rFonts w:ascii="Times New Roman" w:hAnsi="Times New Roman"/>
        </w:rPr>
        <w:t>.</w:t>
      </w:r>
    </w:p>
    <w:p w14:paraId="2B5C60E3" w14:textId="77777777" w:rsidR="006F5D40" w:rsidRPr="00F526D6" w:rsidRDefault="006F5D40" w:rsidP="001F4D8E">
      <w:pPr>
        <w:numPr>
          <w:ilvl w:val="0"/>
          <w:numId w:val="49"/>
        </w:numPr>
        <w:spacing w:after="120"/>
        <w:jc w:val="both"/>
        <w:rPr>
          <w:rFonts w:ascii="Times New Roman" w:hAnsi="Times New Roman"/>
        </w:rPr>
      </w:pPr>
      <w:r w:rsidRPr="00F526D6">
        <w:rPr>
          <w:rFonts w:ascii="Times New Roman" w:hAnsi="Times New Roman"/>
        </w:rPr>
        <w:t xml:space="preserve">Each connecting TSO shall report without undue delay the total allocated volume to </w:t>
      </w:r>
      <w:r w:rsidRPr="00D74393">
        <w:rPr>
          <w:rFonts w:ascii="Times New Roman" w:hAnsi="Times New Roman"/>
        </w:rPr>
        <w:t xml:space="preserve">the concerned </w:t>
      </w:r>
      <w:r w:rsidRPr="00F526D6">
        <w:rPr>
          <w:rFonts w:ascii="Times New Roman" w:hAnsi="Times New Roman"/>
        </w:rPr>
        <w:t xml:space="preserve">BRP in case of self-dispatching model, or to each scheduling unit of concerned BRP in case of central dispatching model, and this allocated volume shall be finalised no later than set by each Member State's terms and conditions for BRPs in accordance with Article 18(6)(h) of the EB Regulation. </w:t>
      </w:r>
    </w:p>
    <w:p w14:paraId="3240D9DC" w14:textId="2A862A33" w:rsidR="00CE7A2A" w:rsidRDefault="006F5D40" w:rsidP="00CE7A2A">
      <w:pPr>
        <w:pStyle w:val="Artnr"/>
      </w:pPr>
      <w:bookmarkStart w:id="36" w:name="_Toc41647759"/>
      <w:bookmarkEnd w:id="35"/>
      <w:r>
        <w:t>Article 5</w:t>
      </w:r>
      <w:r w:rsidR="00EF176A" w:rsidRPr="00432D91">
        <w:br/>
      </w:r>
      <w:r w:rsidRPr="006F5D40">
        <w:t>The calculation of an imbalance adjustment</w:t>
      </w:r>
      <w:bookmarkEnd w:id="36"/>
    </w:p>
    <w:p w14:paraId="45C710EA" w14:textId="77777777" w:rsidR="006F5D40" w:rsidRPr="00F526D6" w:rsidRDefault="006F5D40" w:rsidP="001F4D8E">
      <w:pPr>
        <w:numPr>
          <w:ilvl w:val="0"/>
          <w:numId w:val="46"/>
        </w:numPr>
        <w:spacing w:after="120"/>
        <w:jc w:val="both"/>
        <w:rPr>
          <w:rFonts w:ascii="Times New Roman" w:hAnsi="Times New Roman"/>
        </w:rPr>
      </w:pPr>
      <w:r w:rsidRPr="00F526D6">
        <w:rPr>
          <w:rFonts w:ascii="Times New Roman" w:hAnsi="Times New Roman"/>
        </w:rPr>
        <w:t xml:space="preserve">Each connecting TSOs shall calculate the imbalance adjustment to the concerned BRP </w:t>
      </w:r>
      <w:r w:rsidRPr="00217D52">
        <w:rPr>
          <w:rFonts w:ascii="Times New Roman" w:hAnsi="Times New Roman"/>
        </w:rPr>
        <w:t>in each imbalance area</w:t>
      </w:r>
      <w:r w:rsidRPr="00F526D6">
        <w:rPr>
          <w:rFonts w:ascii="Times New Roman" w:hAnsi="Times New Roman"/>
        </w:rPr>
        <w:t xml:space="preserve"> for each ISP as the netted volume of: </w:t>
      </w:r>
    </w:p>
    <w:p w14:paraId="00E0C9E9" w14:textId="77777777" w:rsidR="006F5D40" w:rsidRPr="006F5D40" w:rsidRDefault="006F5D40" w:rsidP="001F4D8E">
      <w:pPr>
        <w:pStyle w:val="Paragraph"/>
        <w:numPr>
          <w:ilvl w:val="0"/>
          <w:numId w:val="50"/>
        </w:numPr>
      </w:pPr>
      <w:r w:rsidRPr="006F5D40">
        <w:t>all activated volumes of balancing energy determined in accordance with Article 45 of the EB Regulation from all activated bids in that imbalance area for that ISP that assign these balancing energy bids to the concerned BRP;</w:t>
      </w:r>
    </w:p>
    <w:p w14:paraId="4AAEAE82" w14:textId="77777777" w:rsidR="006F5D40" w:rsidRPr="006F5D40" w:rsidRDefault="006F5D40" w:rsidP="001F4D8E">
      <w:pPr>
        <w:pStyle w:val="Paragraph"/>
        <w:numPr>
          <w:ilvl w:val="0"/>
          <w:numId w:val="45"/>
        </w:numPr>
      </w:pPr>
      <w:r w:rsidRPr="006F5D40">
        <w:t>all volumes activated by the connecting TSO for that ISP for purposes other than balancing pursuant to Article 29(3) of the EB Regulation, that are assigned to the concerned BRP.</w:t>
      </w:r>
    </w:p>
    <w:p w14:paraId="2A699A47" w14:textId="77777777" w:rsidR="006F5D40" w:rsidRPr="00F526D6" w:rsidRDefault="006F5D40" w:rsidP="001F4D8E">
      <w:pPr>
        <w:numPr>
          <w:ilvl w:val="0"/>
          <w:numId w:val="46"/>
        </w:numPr>
        <w:spacing w:after="120"/>
        <w:jc w:val="both"/>
        <w:rPr>
          <w:rFonts w:ascii="Times New Roman" w:hAnsi="Times New Roman"/>
        </w:rPr>
      </w:pPr>
      <w:r w:rsidRPr="00F526D6">
        <w:rPr>
          <w:rFonts w:ascii="Times New Roman" w:hAnsi="Times New Roman"/>
        </w:rPr>
        <w:t>Additional imbalance adjustments to the concerned BRP</w:t>
      </w:r>
      <w:r w:rsidRPr="00217D52">
        <w:rPr>
          <w:rFonts w:ascii="Times New Roman" w:hAnsi="Times New Roman"/>
        </w:rPr>
        <w:t xml:space="preserve"> shall, where relevant,</w:t>
      </w:r>
      <w:r w:rsidRPr="00F526D6">
        <w:rPr>
          <w:rFonts w:ascii="Times New Roman" w:hAnsi="Times New Roman"/>
        </w:rPr>
        <w:t xml:space="preserve"> be calculated by the connecting TSO</w:t>
      </w:r>
      <w:r w:rsidRPr="00217D52">
        <w:rPr>
          <w:rFonts w:ascii="Times New Roman" w:hAnsi="Times New Roman"/>
        </w:rPr>
        <w:t xml:space="preserve"> in each imbalance area</w:t>
      </w:r>
      <w:r w:rsidRPr="00F526D6">
        <w:rPr>
          <w:rFonts w:ascii="Times New Roman" w:hAnsi="Times New Roman"/>
        </w:rPr>
        <w:t xml:space="preserve"> for each ISP as the netted volume of</w:t>
      </w:r>
      <w:r>
        <w:rPr>
          <w:rFonts w:ascii="Times New Roman" w:hAnsi="Times New Roman"/>
        </w:rPr>
        <w:t>:</w:t>
      </w:r>
      <w:r w:rsidRPr="00F526D6">
        <w:rPr>
          <w:rFonts w:ascii="Times New Roman" w:hAnsi="Times New Roman"/>
        </w:rPr>
        <w:t xml:space="preserve"> </w:t>
      </w:r>
    </w:p>
    <w:p w14:paraId="30506E0F" w14:textId="77777777" w:rsidR="006F5D40" w:rsidRPr="006F5D40" w:rsidRDefault="006F5D40" w:rsidP="001F4D8E">
      <w:pPr>
        <w:pStyle w:val="Paragraph"/>
        <w:numPr>
          <w:ilvl w:val="0"/>
          <w:numId w:val="51"/>
        </w:numPr>
      </w:pPr>
      <w:r w:rsidRPr="006F5D40">
        <w:t>all energy volumes involved in the system defence plan instructions as issued by the connecting TSO to significant grid users and defence service providers in accordance with the system defence plan procedures provided for in point (b) of Article 11(5) of the ER Regulation and specified in the Member State's terms and conditions for BRPs;</w:t>
      </w:r>
    </w:p>
    <w:p w14:paraId="189B0E3E" w14:textId="77777777" w:rsidR="006F5D40" w:rsidRPr="006F5D40" w:rsidRDefault="006F5D40" w:rsidP="001F4D8E">
      <w:pPr>
        <w:pStyle w:val="Paragraph"/>
        <w:numPr>
          <w:ilvl w:val="0"/>
          <w:numId w:val="50"/>
        </w:numPr>
      </w:pPr>
      <w:r w:rsidRPr="006F5D40">
        <w:t>the energy involved in all allocated cross-zonal capacity that is curtailed by the connecting TSO on the external trade schedules of the concerned BRP for that ISP in accordance with Article 72(1) of the CACM Regulation;</w:t>
      </w:r>
    </w:p>
    <w:p w14:paraId="0F7E1D5E" w14:textId="77777777" w:rsidR="006F5D40" w:rsidRPr="006F5D40" w:rsidRDefault="006F5D40" w:rsidP="001F4D8E">
      <w:pPr>
        <w:pStyle w:val="Paragraph"/>
        <w:numPr>
          <w:ilvl w:val="0"/>
          <w:numId w:val="50"/>
        </w:numPr>
      </w:pPr>
      <w:r w:rsidRPr="006F5D40">
        <w:t>all energy volumes of further energy allocations between BRPs due to redispatching actions or to energy from renewable sources according to each Member State's terms and conditions for BRPs.</w:t>
      </w:r>
    </w:p>
    <w:p w14:paraId="74396581" w14:textId="77777777" w:rsidR="006F5D40" w:rsidRPr="00F526D6" w:rsidRDefault="006F5D40" w:rsidP="001F4D8E">
      <w:pPr>
        <w:numPr>
          <w:ilvl w:val="0"/>
          <w:numId w:val="46"/>
        </w:numPr>
        <w:spacing w:after="120"/>
        <w:jc w:val="both"/>
        <w:rPr>
          <w:rFonts w:ascii="Times New Roman" w:hAnsi="Times New Roman"/>
        </w:rPr>
      </w:pPr>
      <w:r w:rsidRPr="00F526D6">
        <w:rPr>
          <w:rFonts w:ascii="Times New Roman" w:hAnsi="Times New Roman"/>
        </w:rPr>
        <w:t>For each connecting TSO applying a central dispatching model, the imbalance adjustment referred to in Articles 5(1) and 5(2) shall be calculated by the connecting TSO</w:t>
      </w:r>
      <w:r w:rsidRPr="00217D52">
        <w:rPr>
          <w:rFonts w:ascii="Times New Roman" w:hAnsi="Times New Roman"/>
        </w:rPr>
        <w:t xml:space="preserve"> in each imbalance area </w:t>
      </w:r>
      <w:r w:rsidRPr="00F526D6">
        <w:rPr>
          <w:rFonts w:ascii="Times New Roman" w:hAnsi="Times New Roman"/>
        </w:rPr>
        <w:t xml:space="preserve">for each ISP for each scheduling unit of the concerned BRP, pursuant to Article 49(2) of the EB Regulation and </w:t>
      </w:r>
      <w:r>
        <w:rPr>
          <w:rFonts w:ascii="Times New Roman" w:hAnsi="Times New Roman"/>
        </w:rPr>
        <w:t xml:space="preserve">for each position </w:t>
      </w:r>
      <w:r w:rsidRPr="00F526D6">
        <w:rPr>
          <w:rFonts w:ascii="Times New Roman" w:hAnsi="Times New Roman"/>
        </w:rPr>
        <w:t>in accordance with Article 3(2).</w:t>
      </w:r>
    </w:p>
    <w:p w14:paraId="58F7F535" w14:textId="77777777" w:rsidR="006F5D40" w:rsidRPr="00217D52" w:rsidRDefault="006F5D40" w:rsidP="001F4D8E">
      <w:pPr>
        <w:numPr>
          <w:ilvl w:val="0"/>
          <w:numId w:val="46"/>
        </w:numPr>
        <w:spacing w:after="120"/>
        <w:jc w:val="both"/>
      </w:pPr>
      <w:r w:rsidRPr="00F526D6">
        <w:rPr>
          <w:rFonts w:ascii="Times New Roman" w:hAnsi="Times New Roman"/>
        </w:rPr>
        <w:t xml:space="preserve">Each connecting TSO shall report without undue delay the applied imbalance adjustment to the concerned BRP in case of self-dispatching model, or to each scheduling unit of concerned BRP in case of central </w:t>
      </w:r>
      <w:r w:rsidRPr="00F526D6">
        <w:rPr>
          <w:rFonts w:ascii="Times New Roman" w:hAnsi="Times New Roman"/>
        </w:rPr>
        <w:lastRenderedPageBreak/>
        <w:t>dispatching model, and this imbalance adjustment shall be finalised no later than set by each Member State's terms and conditions for BRPs in accordance with Article 18(6)(h) of the EB Regulation.</w:t>
      </w:r>
    </w:p>
    <w:p w14:paraId="3240D9F1" w14:textId="243E6F0F" w:rsidR="00B5714E" w:rsidRDefault="006F5D40" w:rsidP="00CE7A2A">
      <w:pPr>
        <w:pStyle w:val="Artnr"/>
      </w:pPr>
      <w:bookmarkStart w:id="37" w:name="_Toc41647760"/>
      <w:r>
        <w:rPr>
          <w:rFonts w:asciiTheme="minorHAnsi" w:hAnsiTheme="minorHAnsi" w:cstheme="minorHAnsi"/>
        </w:rPr>
        <w:t>Article 6</w:t>
      </w:r>
      <w:r w:rsidR="00EF176A" w:rsidRPr="00F70393">
        <w:rPr>
          <w:rFonts w:asciiTheme="minorHAnsi" w:hAnsiTheme="minorHAnsi" w:cstheme="minorHAnsi"/>
        </w:rPr>
        <w:br/>
      </w:r>
      <w:r w:rsidR="00CE7A2A" w:rsidRPr="00CE7A2A">
        <w:t>Functions of the mFRR-Platform</w:t>
      </w:r>
      <w:bookmarkEnd w:id="37"/>
    </w:p>
    <w:p w14:paraId="38603975" w14:textId="77777777" w:rsidR="006F5D40" w:rsidRPr="006F5D40" w:rsidRDefault="006F5D40" w:rsidP="001F4D8E">
      <w:pPr>
        <w:numPr>
          <w:ilvl w:val="0"/>
          <w:numId w:val="52"/>
        </w:numPr>
        <w:spacing w:after="120"/>
        <w:jc w:val="both"/>
        <w:rPr>
          <w:rFonts w:ascii="Times New Roman" w:hAnsi="Times New Roman"/>
        </w:rPr>
      </w:pPr>
      <w:r w:rsidRPr="006F5D40">
        <w:rPr>
          <w:rFonts w:ascii="Times New Roman" w:hAnsi="Times New Roman"/>
        </w:rPr>
        <w:t>Each connecting TSO shall calculate, in each imbalance area for each ISP, the imbalance of each BRP in case of self-dispatching model (or to each scheduling unit of concerned BRP in case of central dispatching model), as the energy volume representing the difference between the allocated volume attributed to that BRP (or to that scheduling unit in case of central dispatching model), calculated in accordance with Article 4, and the final position of that BRP (or to that scheduling unit in case of central dispatching model), calculated in accordance with Article 3, including any imbalance adjustment applied to that BRP (or to that scheduling unit in case of central dispatching model), calculated in accordance with Article 5, within a given ISP.</w:t>
      </w:r>
    </w:p>
    <w:p w14:paraId="5E88FF84" w14:textId="77777777" w:rsidR="006F5D40" w:rsidRPr="006F5D40" w:rsidRDefault="006F5D40" w:rsidP="001F4D8E">
      <w:pPr>
        <w:numPr>
          <w:ilvl w:val="0"/>
          <w:numId w:val="52"/>
        </w:numPr>
        <w:spacing w:after="120"/>
        <w:jc w:val="both"/>
        <w:rPr>
          <w:rFonts w:ascii="Times New Roman" w:hAnsi="Times New Roman"/>
        </w:rPr>
      </w:pPr>
      <w:r w:rsidRPr="006F5D40">
        <w:rPr>
          <w:rFonts w:ascii="Times New Roman" w:hAnsi="Times New Roman"/>
        </w:rPr>
        <w:t>Each connecting TSO shall report without undue delay the calculated imbalance to each BRP in case of self-dispatching model, or to each scheduling unit of concerned BRP in case of central dispatching model, over each ISP for each imbalance area, to the concerned BRP and this imbalance calculation shall be finalised no later than set by each Member State's terms and conditions for BRPs in accordance with Article 18(6)(h) of the EB Regulation, taking into account the rules for claiming the recalculation of the imbalance by a BRP in accordance with Article 54(4)(e) of the EB Regulation.</w:t>
      </w:r>
    </w:p>
    <w:p w14:paraId="3240D9F7" w14:textId="77777777" w:rsidR="00CE7A2A" w:rsidRPr="00CE7A2A" w:rsidRDefault="00CE7A2A" w:rsidP="00CE7A2A">
      <w:pPr>
        <w:pStyle w:val="textregular"/>
      </w:pPr>
    </w:p>
    <w:p w14:paraId="227252F4" w14:textId="77777777" w:rsidR="006F5D40" w:rsidRPr="00217D52" w:rsidRDefault="006F5D40" w:rsidP="006F5D40">
      <w:pPr>
        <w:pStyle w:val="Artnr"/>
      </w:pPr>
      <w:bookmarkStart w:id="38" w:name="_Toc40801498"/>
      <w:bookmarkStart w:id="39" w:name="_Toc41647761"/>
      <w:bookmarkEnd w:id="0"/>
      <w:r w:rsidRPr="00217D52">
        <w:t xml:space="preserve">TITLE </w:t>
      </w:r>
      <w:r>
        <w:t>III</w:t>
      </w:r>
      <w:r w:rsidRPr="00217D52">
        <w:br/>
        <w:t>Specification and harmonisation of imbalance price calculation</w:t>
      </w:r>
      <w:bookmarkEnd w:id="38"/>
      <w:bookmarkEnd w:id="39"/>
    </w:p>
    <w:p w14:paraId="16E53083" w14:textId="77777777" w:rsidR="006F5D40" w:rsidRPr="00217D52" w:rsidRDefault="006F5D40" w:rsidP="006F5D40">
      <w:pPr>
        <w:pStyle w:val="Artnr"/>
      </w:pPr>
      <w:bookmarkStart w:id="40" w:name="_Toc40801499"/>
      <w:bookmarkStart w:id="41" w:name="_Toc41647762"/>
      <w:r w:rsidRPr="00217D52">
        <w:t>Article 7</w:t>
      </w:r>
      <w:r w:rsidRPr="00217D52">
        <w:br/>
        <w:t>The use of single imbalance pricing</w:t>
      </w:r>
      <w:bookmarkEnd w:id="40"/>
      <w:bookmarkEnd w:id="41"/>
    </w:p>
    <w:p w14:paraId="35E2DBE1" w14:textId="77777777" w:rsidR="006F5D40" w:rsidRDefault="006F5D40" w:rsidP="006F5D40">
      <w:pPr>
        <w:pStyle w:val="Numbering"/>
        <w:numPr>
          <w:ilvl w:val="0"/>
          <w:numId w:val="12"/>
        </w:numPr>
        <w:rPr>
          <w:lang w:eastAsia="en-US"/>
        </w:rPr>
      </w:pPr>
      <w:r>
        <w:rPr>
          <w:lang w:eastAsia="en-US"/>
        </w:rPr>
        <w:t xml:space="preserve">Each connecting TSO shall implement the use of single imbalance pricing in accordance with Article 55 of the EB Regulation for all imbalances, as described in paragraphs 3 to 5 below, except for the specific or all ISPs where a regulatory authority approves the application of dual imbalance pricing in accordance with Article 11. </w:t>
      </w:r>
    </w:p>
    <w:p w14:paraId="5B1A0AD9" w14:textId="50FAD19E" w:rsidR="006F5D40" w:rsidRDefault="006F5D40" w:rsidP="006F5D40">
      <w:pPr>
        <w:pStyle w:val="Numbering"/>
        <w:numPr>
          <w:ilvl w:val="0"/>
          <w:numId w:val="12"/>
        </w:numPr>
        <w:rPr>
          <w:lang w:eastAsia="en-US"/>
        </w:rPr>
      </w:pPr>
      <w:r>
        <w:rPr>
          <w:lang w:eastAsia="en-US"/>
        </w:rPr>
        <w:t>Each connecting TSO shall use the following main components for the determination of the imbalance price for each ISP, its imbalance price area</w:t>
      </w:r>
      <w:r w:rsidR="00FB756C">
        <w:rPr>
          <w:lang w:eastAsia="en-US"/>
        </w:rPr>
        <w:t>(s)</w:t>
      </w:r>
      <w:r>
        <w:rPr>
          <w:lang w:eastAsia="en-US"/>
        </w:rPr>
        <w:t xml:space="preserve"> and each direction: the imbalance price for positive imbalance and/or the imbalance price for negative imbalance calculated pursuant to Article 9, the VoAA pursuant to Article 10 and the direction of the imbalance pursuant to Article 8. </w:t>
      </w:r>
    </w:p>
    <w:p w14:paraId="111F04F2" w14:textId="531E5D1A" w:rsidR="006F5D40" w:rsidRDefault="006F5D40" w:rsidP="006F5D40">
      <w:pPr>
        <w:pStyle w:val="Numbering"/>
        <w:numPr>
          <w:ilvl w:val="0"/>
          <w:numId w:val="12"/>
        </w:numPr>
        <w:rPr>
          <w:lang w:eastAsia="en-US"/>
        </w:rPr>
      </w:pPr>
      <w:r>
        <w:rPr>
          <w:lang w:eastAsia="en-US"/>
        </w:rPr>
        <w:t>Each connecting TSO shall set the imbalance price for all imbalances for each ISP and its imbalance price area</w:t>
      </w:r>
      <w:r w:rsidR="00FB756C">
        <w:rPr>
          <w:lang w:eastAsia="en-US"/>
        </w:rPr>
        <w:t>(s)</w:t>
      </w:r>
      <w:r>
        <w:rPr>
          <w:lang w:eastAsia="en-US"/>
        </w:rPr>
        <w:t xml:space="preserve"> in one of the following ways depending on the activation of balancing energy from frequency restoration reserves or replacement reserves for its satisfied balancing energy demand:</w:t>
      </w:r>
    </w:p>
    <w:p w14:paraId="6E0D70C8" w14:textId="77777777" w:rsidR="006F5D40" w:rsidRDefault="006F5D40" w:rsidP="001F4D8E">
      <w:pPr>
        <w:pStyle w:val="Paragraph"/>
        <w:numPr>
          <w:ilvl w:val="0"/>
          <w:numId w:val="53"/>
        </w:numPr>
      </w:pPr>
      <w:r>
        <w:t xml:space="preserve">In case only positive balancing energy from frequency restoration reserves or replacement reserves has been activated, this TSO shall set the imbalance price for all imbalances for this ISP equal to the imbalance price for negative imbalance as calculated in Article 9(1). </w:t>
      </w:r>
    </w:p>
    <w:p w14:paraId="14ACA3B1" w14:textId="77777777" w:rsidR="006F5D40" w:rsidRDefault="006F5D40" w:rsidP="001F4D8E">
      <w:pPr>
        <w:pStyle w:val="Paragraph"/>
        <w:numPr>
          <w:ilvl w:val="0"/>
          <w:numId w:val="51"/>
        </w:numPr>
      </w:pPr>
      <w:r>
        <w:t>In case only negative balancing energy from frequency restoration reserves or replacement reserves has been activated, this TSO shall set the imbalance price for all imbalances for this ISP equal to the imbalance price for positive imbalance as calculated in Article 9(2).</w:t>
      </w:r>
    </w:p>
    <w:p w14:paraId="3E107AAB" w14:textId="77777777" w:rsidR="006F5D40" w:rsidRDefault="006F5D40" w:rsidP="001F4D8E">
      <w:pPr>
        <w:pStyle w:val="Paragraph"/>
        <w:numPr>
          <w:ilvl w:val="0"/>
          <w:numId w:val="51"/>
        </w:numPr>
      </w:pPr>
      <w:r>
        <w:lastRenderedPageBreak/>
        <w:t>In case both positive and negative balancing energy from frequency restoration reserves or replacement reserves has been activated, this TSO shall establish for this ISP the direction of the total system imbalances, in accordance with Article 8(2), and:</w:t>
      </w:r>
    </w:p>
    <w:p w14:paraId="193EC2E6" w14:textId="0B6F0B0B" w:rsidR="006F5D40" w:rsidRDefault="006F5D40" w:rsidP="001F4D8E">
      <w:pPr>
        <w:pStyle w:val="Numbering"/>
        <w:numPr>
          <w:ilvl w:val="0"/>
          <w:numId w:val="54"/>
        </w:numPr>
        <w:rPr>
          <w:lang w:eastAsia="en-US"/>
        </w:rPr>
      </w:pPr>
      <w:r>
        <w:rPr>
          <w:lang w:eastAsia="en-US"/>
        </w:rPr>
        <w:t>in case of imbalance price area shortage, this TSO shall set the imbalance price for all imbalances for the specific ISP and its imbalance price area</w:t>
      </w:r>
      <w:r w:rsidR="00FB756C">
        <w:rPr>
          <w:lang w:eastAsia="en-US"/>
        </w:rPr>
        <w:t>(s)</w:t>
      </w:r>
      <w:r>
        <w:rPr>
          <w:lang w:eastAsia="en-US"/>
        </w:rPr>
        <w:t xml:space="preserve"> equal to the imbalance price for negative imbalance as calculated in Article 9(1), while</w:t>
      </w:r>
    </w:p>
    <w:p w14:paraId="17C79DB1" w14:textId="77777777" w:rsidR="006F5D40" w:rsidRDefault="006F5D40" w:rsidP="001F4D8E">
      <w:pPr>
        <w:pStyle w:val="Numbering"/>
        <w:numPr>
          <w:ilvl w:val="0"/>
          <w:numId w:val="54"/>
        </w:numPr>
        <w:rPr>
          <w:lang w:eastAsia="en-US"/>
        </w:rPr>
      </w:pPr>
      <w:r>
        <w:rPr>
          <w:lang w:eastAsia="en-US"/>
        </w:rPr>
        <w:t>in case of imbalance price area surplus, this TSO shall set the imbalance price for all imbalances for the specific ISP and imbalance price area equal to the imbalance price for positive imbalance as calculated in Article 9(2).</w:t>
      </w:r>
    </w:p>
    <w:p w14:paraId="5FF94240" w14:textId="77777777" w:rsidR="006F5D40" w:rsidRDefault="006F5D40" w:rsidP="001F4D8E">
      <w:pPr>
        <w:pStyle w:val="Paragraph"/>
        <w:numPr>
          <w:ilvl w:val="0"/>
          <w:numId w:val="51"/>
        </w:numPr>
      </w:pPr>
      <w:r>
        <w:t>In case of no positive or negative balancing energy from frequency restoration reserves or replacement reserves has been activated, this TSO shall set the imbalance price for all imbalances for this ISP equal to the imbalance price for positive or negative imbalance as calculated in Articles 9(1) and 9(2) respectively.</w:t>
      </w:r>
    </w:p>
    <w:p w14:paraId="786F7EDE" w14:textId="77777777" w:rsidR="006F5D40" w:rsidRDefault="006F5D40" w:rsidP="006F5D40">
      <w:pPr>
        <w:pStyle w:val="Numbering"/>
        <w:numPr>
          <w:ilvl w:val="0"/>
          <w:numId w:val="12"/>
        </w:numPr>
        <w:rPr>
          <w:lang w:eastAsia="en-US"/>
        </w:rPr>
      </w:pPr>
      <w:r>
        <w:rPr>
          <w:lang w:eastAsia="en-US"/>
        </w:rPr>
        <w:t>In addition to the provisions in Article 55(3) of the EB Regulation, all TSOs in a given imbalance price area shall jointly determine the imbalance price for:</w:t>
      </w:r>
    </w:p>
    <w:p w14:paraId="686300E2" w14:textId="77777777" w:rsidR="006F5D40" w:rsidRDefault="006F5D40" w:rsidP="001F4D8E">
      <w:pPr>
        <w:pStyle w:val="Paragraph"/>
        <w:numPr>
          <w:ilvl w:val="0"/>
          <w:numId w:val="55"/>
        </w:numPr>
      </w:pPr>
      <w:r>
        <w:t>each ISP;</w:t>
      </w:r>
    </w:p>
    <w:p w14:paraId="3925D038" w14:textId="77777777" w:rsidR="006F5D40" w:rsidRDefault="006F5D40" w:rsidP="001F4D8E">
      <w:pPr>
        <w:pStyle w:val="Paragraph"/>
        <w:numPr>
          <w:ilvl w:val="0"/>
          <w:numId w:val="53"/>
        </w:numPr>
      </w:pPr>
      <w:r>
        <w:t>this imbalance price area;</w:t>
      </w:r>
    </w:p>
    <w:p w14:paraId="7AB1C051" w14:textId="77777777" w:rsidR="006F5D40" w:rsidRDefault="006F5D40" w:rsidP="001F4D8E">
      <w:pPr>
        <w:pStyle w:val="Paragraph"/>
        <w:numPr>
          <w:ilvl w:val="0"/>
          <w:numId w:val="53"/>
        </w:numPr>
      </w:pPr>
      <w:r>
        <w:t>each imbalance direction.</w:t>
      </w:r>
    </w:p>
    <w:p w14:paraId="3240DA4B" w14:textId="0C6D2CF5" w:rsidR="00F24B83" w:rsidRDefault="006F5D40" w:rsidP="00F02C34">
      <w:pPr>
        <w:pStyle w:val="Artnr"/>
        <w:rPr>
          <w:lang w:eastAsia="en-US"/>
        </w:rPr>
      </w:pPr>
      <w:bookmarkStart w:id="42" w:name="_Toc41647763"/>
      <w:r>
        <w:rPr>
          <w:rFonts w:asciiTheme="minorHAnsi" w:hAnsiTheme="minorHAnsi" w:cstheme="minorHAnsi"/>
        </w:rPr>
        <w:t>Article 8</w:t>
      </w:r>
      <w:r w:rsidR="00F24B83" w:rsidRPr="00F70393">
        <w:rPr>
          <w:rFonts w:asciiTheme="minorHAnsi" w:hAnsiTheme="minorHAnsi" w:cstheme="minorHAnsi"/>
        </w:rPr>
        <w:br/>
      </w:r>
      <w:r w:rsidRPr="006F5D40">
        <w:rPr>
          <w:lang w:eastAsia="en-US"/>
        </w:rPr>
        <w:t>Establishing the direction of the total system imbalances and the character of a BRP imbalance in an imbalance price area</w:t>
      </w:r>
      <w:bookmarkEnd w:id="42"/>
    </w:p>
    <w:p w14:paraId="73470608" w14:textId="33E72886" w:rsidR="006F5D40" w:rsidRPr="006F5D40" w:rsidRDefault="006F5D40" w:rsidP="001F4D8E">
      <w:pPr>
        <w:pStyle w:val="Numbering"/>
        <w:numPr>
          <w:ilvl w:val="0"/>
          <w:numId w:val="56"/>
        </w:numPr>
        <w:rPr>
          <w:lang w:eastAsia="en-US"/>
        </w:rPr>
      </w:pPr>
      <w:r w:rsidRPr="006F5D40">
        <w:rPr>
          <w:lang w:eastAsia="en-US"/>
        </w:rPr>
        <w:t>When determining the direction of the total system imbalances the connecting TSO shall calculate for its imbalance price area</w:t>
      </w:r>
      <w:r w:rsidR="00FB756C">
        <w:rPr>
          <w:lang w:eastAsia="en-US"/>
        </w:rPr>
        <w:t>(s)</w:t>
      </w:r>
      <w:r w:rsidRPr="006F5D40">
        <w:rPr>
          <w:lang w:eastAsia="en-US"/>
        </w:rPr>
        <w:t>, for a specific ISP, and for each direction the sum of the volumes per direction listed in Article 9(5) and it may include one or more of the volumes per direction listed below:</w:t>
      </w:r>
    </w:p>
    <w:p w14:paraId="06BF55A6" w14:textId="77777777" w:rsidR="006F5D40" w:rsidRPr="006F5D40" w:rsidRDefault="006F5D40" w:rsidP="001F4D8E">
      <w:pPr>
        <w:pStyle w:val="Paragraph"/>
        <w:numPr>
          <w:ilvl w:val="0"/>
          <w:numId w:val="57"/>
        </w:numPr>
      </w:pPr>
      <w:r w:rsidRPr="006F5D40">
        <w:t>the volume or volumes of unintended exchanges of energy;</w:t>
      </w:r>
    </w:p>
    <w:p w14:paraId="754574C7" w14:textId="77777777" w:rsidR="006F5D40" w:rsidRPr="006F5D40" w:rsidRDefault="006F5D40" w:rsidP="001F4D8E">
      <w:pPr>
        <w:pStyle w:val="Paragraph"/>
        <w:numPr>
          <w:ilvl w:val="0"/>
          <w:numId w:val="55"/>
        </w:numPr>
      </w:pPr>
      <w:r w:rsidRPr="006F5D40">
        <w:t>volume for the satisfied balancing energy demand of the connecting TSO or connecting TSOs of this imbalance price area for this ISP as calculated in the European platform defined in accordance with the Article 22 of the EB Regulation;</w:t>
      </w:r>
    </w:p>
    <w:p w14:paraId="049DEE55" w14:textId="77777777" w:rsidR="006F5D40" w:rsidRPr="006F5D40" w:rsidRDefault="006F5D40" w:rsidP="001F4D8E">
      <w:pPr>
        <w:pStyle w:val="Paragraph"/>
        <w:numPr>
          <w:ilvl w:val="0"/>
          <w:numId w:val="55"/>
        </w:numPr>
      </w:pPr>
      <w:r w:rsidRPr="006F5D40">
        <w:t>volume resulting from the frequency containment process;</w:t>
      </w:r>
    </w:p>
    <w:p w14:paraId="39CCE60E" w14:textId="77777777" w:rsidR="006F5D40" w:rsidRPr="006F5D40" w:rsidRDefault="006F5D40" w:rsidP="001F4D8E">
      <w:pPr>
        <w:pStyle w:val="Paragraph"/>
        <w:numPr>
          <w:ilvl w:val="0"/>
          <w:numId w:val="55"/>
        </w:numPr>
      </w:pPr>
      <w:r w:rsidRPr="006F5D40">
        <w:t xml:space="preserve">volume resulting from remedial actions pursuant to Article 22 , paragraph 1, letters (h) and (j) and paragraph 2, of the SO Regulation; </w:t>
      </w:r>
    </w:p>
    <w:p w14:paraId="04A28340" w14:textId="77777777" w:rsidR="006F5D40" w:rsidRPr="006F5D40" w:rsidRDefault="006F5D40" w:rsidP="001F4D8E">
      <w:pPr>
        <w:pStyle w:val="Paragraph"/>
        <w:numPr>
          <w:ilvl w:val="0"/>
          <w:numId w:val="55"/>
        </w:numPr>
      </w:pPr>
      <w:r w:rsidRPr="006F5D40">
        <w:t>volume resulting from Inter-TSO assistance in emergency state pursuant to Article 14 of the ER Regulation.</w:t>
      </w:r>
    </w:p>
    <w:p w14:paraId="6991F1C2" w14:textId="34EF42CA" w:rsidR="006F5D40" w:rsidRPr="006F5D40" w:rsidRDefault="006F5D40" w:rsidP="001F4D8E">
      <w:pPr>
        <w:pStyle w:val="Numbering"/>
        <w:numPr>
          <w:ilvl w:val="0"/>
          <w:numId w:val="56"/>
        </w:numPr>
        <w:rPr>
          <w:lang w:eastAsia="en-US"/>
        </w:rPr>
      </w:pPr>
      <w:r w:rsidRPr="006F5D40">
        <w:rPr>
          <w:lang w:eastAsia="en-US"/>
        </w:rPr>
        <w:t>This TSO shall establish for the specific ISP, the direction of the total system imbalances of its imbalance price area</w:t>
      </w:r>
      <w:r w:rsidR="00FB756C">
        <w:rPr>
          <w:lang w:eastAsia="en-US"/>
        </w:rPr>
        <w:t>(s)</w:t>
      </w:r>
      <w:r w:rsidRPr="006F5D40">
        <w:rPr>
          <w:lang w:eastAsia="en-US"/>
        </w:rPr>
        <w:t xml:space="preserve"> based on the difference between the aggregated volumes for each direction, as calculated in paragraph 1. The total system imbalances for a specific ISP and imbalance price area shall alternatively: </w:t>
      </w:r>
    </w:p>
    <w:p w14:paraId="1EF49292" w14:textId="77777777" w:rsidR="006F5D40" w:rsidRPr="006F5D40" w:rsidRDefault="006F5D40" w:rsidP="001F4D8E">
      <w:pPr>
        <w:pStyle w:val="Paragraph"/>
        <w:numPr>
          <w:ilvl w:val="0"/>
          <w:numId w:val="58"/>
        </w:numPr>
      </w:pPr>
      <w:r w:rsidRPr="006F5D40">
        <w:t xml:space="preserve">have a negative sign, indicating an imbalance price area shortage, when the aggregated volume for positive direction is greater in absolute value than the aggregated volume for negative direction,  </w:t>
      </w:r>
    </w:p>
    <w:p w14:paraId="27A79E84" w14:textId="77777777" w:rsidR="006F5D40" w:rsidRPr="006F5D40" w:rsidRDefault="006F5D40" w:rsidP="001F4D8E">
      <w:pPr>
        <w:pStyle w:val="Paragraph"/>
        <w:numPr>
          <w:ilvl w:val="0"/>
          <w:numId w:val="57"/>
        </w:numPr>
      </w:pPr>
      <w:r w:rsidRPr="006F5D40">
        <w:lastRenderedPageBreak/>
        <w:t>have a positive sign, indicating an imbalance price area surplus, when the aggregated volume for negative direction is greater in absolute value than the aggregated volume for positive balancing direction,</w:t>
      </w:r>
    </w:p>
    <w:p w14:paraId="6478FFA0" w14:textId="77777777" w:rsidR="006F5D40" w:rsidRPr="006F5D40" w:rsidRDefault="006F5D40" w:rsidP="001F4D8E">
      <w:pPr>
        <w:pStyle w:val="Paragraph"/>
        <w:numPr>
          <w:ilvl w:val="0"/>
          <w:numId w:val="57"/>
        </w:numPr>
      </w:pPr>
      <w:r w:rsidRPr="006F5D40">
        <w:t>be equal to zero, indicating an imbalance price area in balance.</w:t>
      </w:r>
    </w:p>
    <w:p w14:paraId="7B76CFBF" w14:textId="5BA760F3" w:rsidR="006F5D40" w:rsidRPr="006F5D40" w:rsidRDefault="0078610B" w:rsidP="001F4D8E">
      <w:pPr>
        <w:pStyle w:val="Numbering"/>
        <w:numPr>
          <w:ilvl w:val="0"/>
          <w:numId w:val="56"/>
        </w:numPr>
        <w:rPr>
          <w:lang w:eastAsia="en-US"/>
        </w:rPr>
      </w:pPr>
      <w:r w:rsidRPr="006832DB">
        <w:rPr>
          <w:iCs/>
          <w:lang w:val="en-US"/>
        </w:rPr>
        <w:t xml:space="preserve">TSOs of the same LFC </w:t>
      </w:r>
      <w:r>
        <w:rPr>
          <w:iCs/>
          <w:lang w:val="en-US"/>
        </w:rPr>
        <w:t>area</w:t>
      </w:r>
      <w:r>
        <w:t xml:space="preserve"> </w:t>
      </w:r>
      <w:r>
        <w:rPr>
          <w:iCs/>
        </w:rPr>
        <w:t>that</w:t>
      </w:r>
      <w:r w:rsidRPr="00AE2BE7">
        <w:rPr>
          <w:iCs/>
        </w:rPr>
        <w:t xml:space="preserve"> </w:t>
      </w:r>
      <w:r>
        <w:rPr>
          <w:iCs/>
        </w:rPr>
        <w:t>calculate the frequency restoration control error as the frequency deviation pursuant to Article 143(2)(b) of the SO Regulation</w:t>
      </w:r>
      <w:r w:rsidRPr="00AE2BE7">
        <w:rPr>
          <w:iCs/>
          <w:lang w:val="en-US"/>
        </w:rPr>
        <w:t>, may determine the total system imbalance</w:t>
      </w:r>
      <w:r>
        <w:rPr>
          <w:iCs/>
          <w:lang w:val="en-US"/>
        </w:rPr>
        <w:t>s</w:t>
      </w:r>
      <w:r w:rsidRPr="00AE2BE7">
        <w:rPr>
          <w:iCs/>
          <w:lang w:val="en-US"/>
        </w:rPr>
        <w:t xml:space="preserve"> as specified in paragraph</w:t>
      </w:r>
      <w:r>
        <w:rPr>
          <w:iCs/>
          <w:lang w:val="en-US"/>
        </w:rPr>
        <w:t>s 1 and 2</w:t>
      </w:r>
      <w:r w:rsidRPr="00AE2BE7">
        <w:rPr>
          <w:iCs/>
          <w:lang w:val="en-US"/>
        </w:rPr>
        <w:t>, for set</w:t>
      </w:r>
      <w:r w:rsidR="00B246D1">
        <w:rPr>
          <w:iCs/>
          <w:lang w:val="en-US"/>
        </w:rPr>
        <w:t>s</w:t>
      </w:r>
      <w:r w:rsidRPr="00AE2BE7">
        <w:rPr>
          <w:iCs/>
          <w:lang w:val="en-US"/>
        </w:rPr>
        <w:t xml:space="preserve"> of </w:t>
      </w:r>
      <w:r>
        <w:rPr>
          <w:iCs/>
          <w:lang w:val="en-US"/>
        </w:rPr>
        <w:t xml:space="preserve">their </w:t>
      </w:r>
      <w:r w:rsidRPr="00AE2BE7">
        <w:rPr>
          <w:iCs/>
          <w:lang w:val="en-US"/>
        </w:rPr>
        <w:t>imbalance price areas</w:t>
      </w:r>
      <w:r w:rsidR="006F5D40" w:rsidRPr="006F5D40">
        <w:rPr>
          <w:lang w:eastAsia="en-US"/>
        </w:rPr>
        <w:t>.</w:t>
      </w:r>
    </w:p>
    <w:p w14:paraId="10F37685" w14:textId="21C9C5BF" w:rsidR="006F5D40" w:rsidRPr="006F5D40" w:rsidRDefault="006F5D40" w:rsidP="001F4D8E">
      <w:pPr>
        <w:pStyle w:val="Numbering"/>
        <w:numPr>
          <w:ilvl w:val="0"/>
          <w:numId w:val="56"/>
        </w:numPr>
        <w:rPr>
          <w:lang w:eastAsia="en-US"/>
        </w:rPr>
      </w:pPr>
      <w:r w:rsidRPr="006F5D40">
        <w:rPr>
          <w:lang w:eastAsia="en-US"/>
        </w:rPr>
        <w:t>The calculated character of the imbalance to each BRP in case of self-dispatching model, or to each scheduling unit of concerned BRP in case of central dispatching model, for each ISP, for each imbalance price area, shall be alternatively:</w:t>
      </w:r>
    </w:p>
    <w:p w14:paraId="6716742D" w14:textId="77777777" w:rsidR="006F5D40" w:rsidRPr="006F5D40" w:rsidRDefault="006F5D40" w:rsidP="001F4D8E">
      <w:pPr>
        <w:pStyle w:val="Paragraph"/>
        <w:numPr>
          <w:ilvl w:val="0"/>
          <w:numId w:val="59"/>
        </w:numPr>
      </w:pPr>
      <w:r w:rsidRPr="006F5D40">
        <w:t>non-aggravating imbalance, when the BRP imbalance is opposite to the direction of the total system imbalances;</w:t>
      </w:r>
    </w:p>
    <w:p w14:paraId="6373D476" w14:textId="77777777" w:rsidR="006F5D40" w:rsidRPr="006F5D40" w:rsidRDefault="006F5D40" w:rsidP="001F4D8E">
      <w:pPr>
        <w:pStyle w:val="Paragraph"/>
        <w:numPr>
          <w:ilvl w:val="0"/>
          <w:numId w:val="58"/>
        </w:numPr>
      </w:pPr>
      <w:r w:rsidRPr="006F5D40">
        <w:t>aggravating imbalance, when the BRP imbalance has the same direction as the total system imbalances;</w:t>
      </w:r>
    </w:p>
    <w:p w14:paraId="6DAAA535" w14:textId="77777777" w:rsidR="006F5D40" w:rsidRPr="006F5D40" w:rsidRDefault="006F5D40" w:rsidP="001F4D8E">
      <w:pPr>
        <w:pStyle w:val="Paragraph"/>
        <w:numPr>
          <w:ilvl w:val="0"/>
          <w:numId w:val="58"/>
        </w:numPr>
      </w:pPr>
      <w:r w:rsidRPr="006F5D40">
        <w:t>in case no direction can be established both positive and negative BRP imbalances shall be deemed as aggravating.</w:t>
      </w:r>
    </w:p>
    <w:p w14:paraId="3240DA50" w14:textId="6D18818F" w:rsidR="003A5D68" w:rsidRDefault="001F4D8E" w:rsidP="00F02C34">
      <w:pPr>
        <w:pStyle w:val="Artnr"/>
        <w:rPr>
          <w:lang w:eastAsia="en-US"/>
        </w:rPr>
      </w:pPr>
      <w:bookmarkStart w:id="43" w:name="_Toc41647764"/>
      <w:r>
        <w:rPr>
          <w:rFonts w:asciiTheme="minorHAnsi" w:hAnsiTheme="minorHAnsi" w:cstheme="minorHAnsi"/>
        </w:rPr>
        <w:t>Article 9</w:t>
      </w:r>
      <w:r w:rsidR="00F24B83" w:rsidRPr="00F70393">
        <w:rPr>
          <w:rFonts w:asciiTheme="minorHAnsi" w:hAnsiTheme="minorHAnsi" w:cstheme="minorHAnsi"/>
        </w:rPr>
        <w:br/>
      </w:r>
      <w:r w:rsidRPr="001F4D8E">
        <w:rPr>
          <w:lang w:eastAsia="en-US"/>
        </w:rPr>
        <w:t>Determination of the imbalance price for positive and negative imbalance</w:t>
      </w:r>
      <w:bookmarkEnd w:id="43"/>
      <w:r w:rsidRPr="001F4D8E">
        <w:rPr>
          <w:lang w:eastAsia="en-US"/>
        </w:rPr>
        <w:t xml:space="preserve"> </w:t>
      </w:r>
    </w:p>
    <w:p w14:paraId="5457D377" w14:textId="77777777" w:rsidR="001F4D8E" w:rsidRDefault="001F4D8E" w:rsidP="001F4D8E">
      <w:pPr>
        <w:pStyle w:val="Numbering"/>
        <w:numPr>
          <w:ilvl w:val="0"/>
          <w:numId w:val="37"/>
        </w:numPr>
        <w:rPr>
          <w:lang w:eastAsia="en-US"/>
        </w:rPr>
      </w:pPr>
      <w:r>
        <w:rPr>
          <w:lang w:eastAsia="en-US"/>
        </w:rPr>
        <w:t xml:space="preserve">Each connecting TSO shall use for the imbalance price for negative imbalance, the weighted average approach and/or the maximum price approach, based on the prices and respective volumes listed in paragraphs 3 and 5 for positive activated balancing energy. Each connecting TSO may also use additional components listed in paragraph 6 for determining the imbalance price for negative imbalance, as long as the boundary condition of Article 55(4) of the EB Regulation is respected. For the calculation of the boundary condition, in case it is not always fulfilled, based on the imbalance price calculation approach, each connecting TSO shall use all the available prices and the respective volumes for positive activated balancing energy listed in paragraphs 3 and 5 to calculate the weighted average price for positive activated balancing energy pursuant to Article 55(4)(a) of the EB Regulation. In case there is no positive balancing energy activated for this connecting TSO, then the value of avoided activation of balancing energy calculated in accordance with Article 10, shall be the lower bound for the imbalance price for negative imbalance. </w:t>
      </w:r>
    </w:p>
    <w:p w14:paraId="485868A7" w14:textId="77777777" w:rsidR="001F4D8E" w:rsidRDefault="001F4D8E" w:rsidP="001F4D8E">
      <w:pPr>
        <w:pStyle w:val="Numbering"/>
        <w:numPr>
          <w:ilvl w:val="0"/>
          <w:numId w:val="37"/>
        </w:numPr>
        <w:rPr>
          <w:lang w:eastAsia="en-US"/>
        </w:rPr>
      </w:pPr>
      <w:r>
        <w:rPr>
          <w:lang w:eastAsia="en-US"/>
        </w:rPr>
        <w:t>Each connecting TSO shall use for the imbalance price for positive imbalance, the weighted average approach and/or the minimum price approach, based on the prices and respective volumes listed in paragraphs 3 and 5 for negative activated balancing energy. Each connecting TSO may also use additional components listed in paragraph 6 for determining the imbalance price for positive imbalance, as long as the boundary condition of Article 55(5) of the EB Regulation is respected. For the calculation of the boundary condition, in case it is not always fulfilled, based on the imbalance price calculation approach, each connecting TSO shall use all the available prices and the respective volumes for negative activated balancing energy listed in paragraphs 3 and 5 to calculate the weighted average price for negative activated balancing energy pursuant to Article 55(5)(a) of the EB Regulation. In case there is no negative balancing energy activated for this TSO, then the value of avoided activation of balancing energy calculated in accordance with Article 10, shall be the upper bound for the imbalance price for positive imbalance.</w:t>
      </w:r>
    </w:p>
    <w:p w14:paraId="02B3A224" w14:textId="77777777" w:rsidR="001F4D8E" w:rsidRDefault="001F4D8E" w:rsidP="001F4D8E">
      <w:pPr>
        <w:pStyle w:val="Numbering"/>
        <w:numPr>
          <w:ilvl w:val="0"/>
          <w:numId w:val="37"/>
        </w:numPr>
        <w:rPr>
          <w:lang w:eastAsia="en-US"/>
        </w:rPr>
      </w:pPr>
      <w:r>
        <w:rPr>
          <w:lang w:eastAsia="en-US"/>
        </w:rPr>
        <w:lastRenderedPageBreak/>
        <w:t>The  prices for determining the imbalance price for a given ISP, imbalance price area and per direction are:</w:t>
      </w:r>
    </w:p>
    <w:p w14:paraId="405FFFE4" w14:textId="77777777" w:rsidR="001F4D8E" w:rsidRDefault="001F4D8E" w:rsidP="001F4D8E">
      <w:pPr>
        <w:pStyle w:val="Paragraph"/>
        <w:numPr>
          <w:ilvl w:val="0"/>
          <w:numId w:val="60"/>
        </w:numPr>
      </w:pPr>
      <w:r>
        <w:t>where applicable, the price or prices, for the satisfied balancing energy demand of connecting TSO or connecting TSOs of this imbalance price area for this ISP, as calculated by the activation optimisation function of the European platform defined in accordance with the Article 19 of the EB Regulation;</w:t>
      </w:r>
    </w:p>
    <w:p w14:paraId="3DE8AC3E" w14:textId="77777777" w:rsidR="001F4D8E" w:rsidRDefault="001F4D8E" w:rsidP="001F4D8E">
      <w:pPr>
        <w:pStyle w:val="Paragraph"/>
        <w:numPr>
          <w:ilvl w:val="0"/>
          <w:numId w:val="59"/>
        </w:numPr>
      </w:pPr>
      <w:r>
        <w:t>where applicable, the price or prices, and product for the satisfied balancing energy demand of the connecting TSO or connecting TSOs of this imbalance price area of this ISP, as calculated by the activation optimisation function of the European platform defined in accordance with the Article 20 of the EB Regulation;</w:t>
      </w:r>
    </w:p>
    <w:p w14:paraId="22248BE9" w14:textId="77777777" w:rsidR="001F4D8E" w:rsidRDefault="001F4D8E" w:rsidP="001F4D8E">
      <w:pPr>
        <w:pStyle w:val="Paragraph"/>
        <w:numPr>
          <w:ilvl w:val="0"/>
          <w:numId w:val="59"/>
        </w:numPr>
      </w:pPr>
      <w:r>
        <w:t>where applicable, the price or prices, for the satisfied balancing energy demand of connecting TSO or connecting TSOs of this imbalance price area for this ISP, as calculated by the activation optimisation function of the European platform defined in accordance with the Article 21 of the EB Regulation;</w:t>
      </w:r>
    </w:p>
    <w:p w14:paraId="6F1824C3" w14:textId="77777777" w:rsidR="001F4D8E" w:rsidRDefault="001F4D8E" w:rsidP="001F4D8E">
      <w:pPr>
        <w:pStyle w:val="Paragraph"/>
        <w:numPr>
          <w:ilvl w:val="0"/>
          <w:numId w:val="59"/>
        </w:numPr>
      </w:pPr>
      <w:r>
        <w:t>where applicable, the price or prices for balancing energy resulting from the activation of specific products for frequency restoration or reserve replacement process;</w:t>
      </w:r>
    </w:p>
    <w:p w14:paraId="0C4732BF" w14:textId="77777777" w:rsidR="001F4D8E" w:rsidRDefault="001F4D8E" w:rsidP="001F4D8E">
      <w:pPr>
        <w:pStyle w:val="Paragraph"/>
        <w:numPr>
          <w:ilvl w:val="0"/>
          <w:numId w:val="59"/>
        </w:numPr>
      </w:pPr>
      <w:r>
        <w:t>where applicable, the price or prices for balancing energy resulting from the activation of balancing energy bids that do not correspond to standard or specific products or to integrated scheduling process bids, for frequency restoration or reserve replacement process;</w:t>
      </w:r>
    </w:p>
    <w:p w14:paraId="22727E10" w14:textId="77777777" w:rsidR="001F4D8E" w:rsidRDefault="001F4D8E" w:rsidP="001F4D8E">
      <w:pPr>
        <w:pStyle w:val="Paragraph"/>
        <w:numPr>
          <w:ilvl w:val="0"/>
          <w:numId w:val="59"/>
        </w:numPr>
      </w:pPr>
      <w:r>
        <w:t>where applicable, the price or prices resulting from the integrated scheduling process.</w:t>
      </w:r>
    </w:p>
    <w:p w14:paraId="1D5AF9E4" w14:textId="77777777" w:rsidR="001F4D8E" w:rsidRDefault="001F4D8E" w:rsidP="001F4D8E">
      <w:pPr>
        <w:pStyle w:val="Numbering"/>
        <w:numPr>
          <w:ilvl w:val="0"/>
          <w:numId w:val="37"/>
        </w:numPr>
        <w:rPr>
          <w:lang w:eastAsia="en-US"/>
        </w:rPr>
      </w:pPr>
      <w:r>
        <w:rPr>
          <w:lang w:eastAsia="en-US"/>
        </w:rPr>
        <w:t>Each connecting TSO shall use one or more of the balancing energy prices listed in paragraph 3 for calculating the imbalance price taking into account that:</w:t>
      </w:r>
    </w:p>
    <w:p w14:paraId="46315DA5" w14:textId="77777777" w:rsidR="001F4D8E" w:rsidRDefault="001F4D8E" w:rsidP="001F4D8E">
      <w:pPr>
        <w:pStyle w:val="Paragraph"/>
        <w:numPr>
          <w:ilvl w:val="0"/>
          <w:numId w:val="61"/>
        </w:numPr>
      </w:pPr>
      <w:r>
        <w:t>Each connecting TSO shall use the prices in accordance with points (a), (b) and (c) of paragraph 3 in case the TSO is participating in the corresponding platform.</w:t>
      </w:r>
    </w:p>
    <w:p w14:paraId="6EE25729" w14:textId="77777777" w:rsidR="001F4D8E" w:rsidRDefault="001F4D8E" w:rsidP="001F4D8E">
      <w:pPr>
        <w:pStyle w:val="Paragraph"/>
        <w:numPr>
          <w:ilvl w:val="0"/>
          <w:numId w:val="60"/>
        </w:numPr>
      </w:pPr>
      <w:r>
        <w:t xml:space="preserve">Each connecting TSO shall use the prices for specific products in accordance with point (d) of paragraph 3 in case the TSO is using the specific products for balancing. </w:t>
      </w:r>
    </w:p>
    <w:p w14:paraId="7C36A006" w14:textId="77777777" w:rsidR="001F4D8E" w:rsidRDefault="001F4D8E" w:rsidP="001F4D8E">
      <w:pPr>
        <w:pStyle w:val="Paragraph"/>
        <w:numPr>
          <w:ilvl w:val="0"/>
          <w:numId w:val="60"/>
        </w:numPr>
      </w:pPr>
      <w:r>
        <w:t>Each connecting TSO shall use the prices for integrated scheduling process in accordance with point (f) of paragraph 3 in case the TSO is using the integrated scheduling process.</w:t>
      </w:r>
    </w:p>
    <w:p w14:paraId="56A6082E" w14:textId="77777777" w:rsidR="001F4D8E" w:rsidRDefault="001F4D8E" w:rsidP="001F4D8E">
      <w:pPr>
        <w:pStyle w:val="Numbering"/>
        <w:numPr>
          <w:ilvl w:val="0"/>
          <w:numId w:val="37"/>
        </w:numPr>
        <w:rPr>
          <w:lang w:eastAsia="en-US"/>
        </w:rPr>
      </w:pPr>
      <w:r>
        <w:rPr>
          <w:lang w:eastAsia="en-US"/>
        </w:rPr>
        <w:t>Each connecting TSO shall use the following volumes per direction for determining the imbalance prices pursuant to paragraphs 1 and 2 in case it is using the weighted average approach or needs to calculate the boundary condition:</w:t>
      </w:r>
    </w:p>
    <w:p w14:paraId="3A94AC3F" w14:textId="77777777" w:rsidR="001F4D8E" w:rsidRDefault="001F4D8E" w:rsidP="001F4D8E">
      <w:pPr>
        <w:pStyle w:val="Paragraph"/>
        <w:numPr>
          <w:ilvl w:val="0"/>
          <w:numId w:val="62"/>
        </w:numPr>
      </w:pPr>
      <w:r>
        <w:t>volume, for the satisfied balancing energy demand of the connecting TSO or connecting TSOs of this imbalance price area for this ISP, as calculated by the activation optimisation function of the European platform defined in accordance with the Article 19 of the EB Regulation;</w:t>
      </w:r>
    </w:p>
    <w:p w14:paraId="74A0B710" w14:textId="77777777" w:rsidR="001F4D8E" w:rsidRDefault="001F4D8E" w:rsidP="001F4D8E">
      <w:pPr>
        <w:pStyle w:val="Paragraph"/>
        <w:numPr>
          <w:ilvl w:val="0"/>
          <w:numId w:val="61"/>
        </w:numPr>
      </w:pPr>
      <w:r>
        <w:t>volume and product, for the satisfied balancing energy demand of the connecting TSO or connecting TSOs of this imbalance price area for this ISP, as calculated by the activation optimisation function of the European platform defined in accordance with the Article 20 of the EB Regulation;</w:t>
      </w:r>
    </w:p>
    <w:p w14:paraId="549BDA45" w14:textId="77777777" w:rsidR="001F4D8E" w:rsidRDefault="001F4D8E" w:rsidP="001F4D8E">
      <w:pPr>
        <w:pStyle w:val="Paragraph"/>
        <w:numPr>
          <w:ilvl w:val="0"/>
          <w:numId w:val="61"/>
        </w:numPr>
      </w:pPr>
      <w:r>
        <w:t>volume, for the satisfied balancing energy demand of the connecting TSO or connecting TSOs of this imbalance price area for this ISP, as calculated by the activation optimisation function of the European platform defined in accordance with the Article 21 of the EB Regulation;</w:t>
      </w:r>
    </w:p>
    <w:p w14:paraId="7A1173D6" w14:textId="77777777" w:rsidR="001F4D8E" w:rsidRDefault="001F4D8E" w:rsidP="001F4D8E">
      <w:pPr>
        <w:pStyle w:val="Paragraph"/>
        <w:numPr>
          <w:ilvl w:val="0"/>
          <w:numId w:val="61"/>
        </w:numPr>
      </w:pPr>
      <w:r>
        <w:lastRenderedPageBreak/>
        <w:t>volumes, for the satisfied balancing energy demand of the connecting TSO or connecting TSOs of this imbalance price area for this ISP of the activations of specific products for frequency restoration process or reserve replacement process;</w:t>
      </w:r>
    </w:p>
    <w:p w14:paraId="0A95D2BB" w14:textId="77777777" w:rsidR="001F4D8E" w:rsidRDefault="001F4D8E" w:rsidP="001F4D8E">
      <w:pPr>
        <w:pStyle w:val="Paragraph"/>
        <w:numPr>
          <w:ilvl w:val="0"/>
          <w:numId w:val="61"/>
        </w:numPr>
      </w:pPr>
      <w:r>
        <w:t>volumes, per ISP of the activations of balancing energy bids that do not correspond to standard or specific products or to integrated scheduling process bids, for frequency restoration process or reserve replacement process;</w:t>
      </w:r>
    </w:p>
    <w:p w14:paraId="30C1F852" w14:textId="77777777" w:rsidR="001F4D8E" w:rsidRDefault="001F4D8E" w:rsidP="001F4D8E">
      <w:pPr>
        <w:pStyle w:val="Paragraph"/>
        <w:numPr>
          <w:ilvl w:val="0"/>
          <w:numId w:val="61"/>
        </w:numPr>
      </w:pPr>
      <w:r>
        <w:t>the volumes resulting from the integrated scheduling process.</w:t>
      </w:r>
    </w:p>
    <w:p w14:paraId="1C6037F6" w14:textId="77777777" w:rsidR="001F4D8E" w:rsidRDefault="001F4D8E" w:rsidP="001F4D8E">
      <w:pPr>
        <w:pStyle w:val="Numbering"/>
        <w:numPr>
          <w:ilvl w:val="0"/>
          <w:numId w:val="37"/>
        </w:numPr>
        <w:rPr>
          <w:lang w:eastAsia="en-US"/>
        </w:rPr>
      </w:pPr>
      <w:r>
        <w:rPr>
          <w:lang w:eastAsia="en-US"/>
        </w:rPr>
        <w:t xml:space="preserve">The connecting TSO or connecting TSOs of an imbalance price area may propose in the Member State’s terms and conditions for BRPs the conditions and a methodology to calculate additional components, to be included in the imbalance price calculation. In that case, this TSO or these TSOs shall propose one or more of the following additional components: </w:t>
      </w:r>
    </w:p>
    <w:p w14:paraId="324F8780" w14:textId="77777777" w:rsidR="001F4D8E" w:rsidRDefault="001F4D8E" w:rsidP="001F4D8E">
      <w:pPr>
        <w:pStyle w:val="Paragraph"/>
        <w:numPr>
          <w:ilvl w:val="0"/>
          <w:numId w:val="63"/>
        </w:numPr>
      </w:pPr>
      <w:r>
        <w:t>a scarcity component to be used in nationally defined scarcity situations;</w:t>
      </w:r>
    </w:p>
    <w:p w14:paraId="300DF6A5" w14:textId="77777777" w:rsidR="001F4D8E" w:rsidRDefault="001F4D8E" w:rsidP="001F4D8E">
      <w:pPr>
        <w:pStyle w:val="Paragraph"/>
        <w:numPr>
          <w:ilvl w:val="0"/>
          <w:numId w:val="61"/>
        </w:numPr>
      </w:pPr>
      <w:r>
        <w:t>an incentivising component to be used to fulfil nationally defined boundary conditions;</w:t>
      </w:r>
    </w:p>
    <w:p w14:paraId="22BBD3D0" w14:textId="77777777" w:rsidR="001F4D8E" w:rsidRDefault="001F4D8E" w:rsidP="001F4D8E">
      <w:pPr>
        <w:pStyle w:val="Paragraph"/>
        <w:numPr>
          <w:ilvl w:val="0"/>
          <w:numId w:val="61"/>
        </w:numPr>
      </w:pPr>
      <w:r>
        <w:t>a component related to the financial neutrality of the connecting TSO.</w:t>
      </w:r>
    </w:p>
    <w:p w14:paraId="1AB98B10" w14:textId="77777777" w:rsidR="001F4D8E" w:rsidRDefault="001F4D8E" w:rsidP="001F4D8E">
      <w:pPr>
        <w:pStyle w:val="Numbering"/>
        <w:numPr>
          <w:ilvl w:val="0"/>
          <w:numId w:val="37"/>
        </w:numPr>
        <w:rPr>
          <w:lang w:eastAsia="en-US"/>
        </w:rPr>
      </w:pPr>
      <w:r>
        <w:rPr>
          <w:lang w:eastAsia="en-US"/>
        </w:rPr>
        <w:t xml:space="preserve">Where the relevant regulatory authorities have approved in the terms and conditions for BRPs the conditions and the methodology to apply one or more additional components in accordance with paragraph 6, the value of the additional components shall be published by the TSO for those ISPs in which the additional components were applied no later than publication of the final imbalance settlement price. </w:t>
      </w:r>
    </w:p>
    <w:p w14:paraId="3240DA62" w14:textId="10D73454" w:rsidR="005E0AF0" w:rsidRDefault="001F4D8E" w:rsidP="00F02C34">
      <w:pPr>
        <w:pStyle w:val="Artnr"/>
        <w:rPr>
          <w:lang w:eastAsia="en-US"/>
        </w:rPr>
      </w:pPr>
      <w:bookmarkStart w:id="44" w:name="_Toc41647765"/>
      <w:r>
        <w:rPr>
          <w:rFonts w:asciiTheme="minorHAnsi" w:hAnsiTheme="minorHAnsi" w:cstheme="minorHAnsi"/>
        </w:rPr>
        <w:t>Article 10</w:t>
      </w:r>
      <w:r w:rsidR="00F24B83" w:rsidRPr="00F70393">
        <w:rPr>
          <w:rFonts w:asciiTheme="minorHAnsi" w:hAnsiTheme="minorHAnsi" w:cstheme="minorHAnsi"/>
        </w:rPr>
        <w:br/>
      </w:r>
      <w:r w:rsidRPr="001F4D8E">
        <w:rPr>
          <w:lang w:eastAsia="en-US"/>
        </w:rPr>
        <w:t>The value of avoided activation of balancing energy from frequency restoration reserves or replacement reserves</w:t>
      </w:r>
      <w:bookmarkEnd w:id="44"/>
    </w:p>
    <w:p w14:paraId="01EE803F" w14:textId="77777777" w:rsidR="001F4D8E" w:rsidRPr="001F4D8E" w:rsidRDefault="001F4D8E" w:rsidP="001F4D8E">
      <w:pPr>
        <w:numPr>
          <w:ilvl w:val="0"/>
          <w:numId w:val="13"/>
        </w:numPr>
        <w:spacing w:after="120" w:line="256" w:lineRule="auto"/>
        <w:jc w:val="both"/>
        <w:rPr>
          <w:rFonts w:ascii="Times New Roman" w:hAnsi="Times New Roman"/>
          <w:szCs w:val="22"/>
          <w:lang w:eastAsia="en-US"/>
        </w:rPr>
      </w:pPr>
      <w:r w:rsidRPr="001F4D8E">
        <w:rPr>
          <w:rFonts w:ascii="Times New Roman" w:hAnsi="Times New Roman"/>
          <w:szCs w:val="22"/>
          <w:lang w:eastAsia="en-US"/>
        </w:rPr>
        <w:t xml:space="preserve">The value of avoided activation shall: </w:t>
      </w:r>
    </w:p>
    <w:p w14:paraId="35BAAB68" w14:textId="77777777" w:rsidR="001F4D8E" w:rsidRPr="001F4D8E" w:rsidRDefault="001F4D8E" w:rsidP="001F4D8E">
      <w:pPr>
        <w:pStyle w:val="Paragraph"/>
        <w:numPr>
          <w:ilvl w:val="0"/>
          <w:numId w:val="64"/>
        </w:numPr>
      </w:pPr>
      <w:r w:rsidRPr="001F4D8E">
        <w:t xml:space="preserve">set the boundary conditions to the imbalance price in accordance with the Articles 55(4)(b) and 55(5)(b) of the EB Regulation;  </w:t>
      </w:r>
    </w:p>
    <w:p w14:paraId="554E894D" w14:textId="7BF71CEB" w:rsidR="001F4D8E" w:rsidRPr="001F4D8E" w:rsidRDefault="001F4D8E" w:rsidP="001F4D8E">
      <w:pPr>
        <w:pStyle w:val="Paragraph"/>
        <w:numPr>
          <w:ilvl w:val="0"/>
          <w:numId w:val="63"/>
        </w:numPr>
      </w:pPr>
      <w:r w:rsidRPr="001F4D8E">
        <w:t>set, where relevant, the boundary conditions to the imbalance price for non-aggravating imbalance in accordance with Article 11(</w:t>
      </w:r>
      <w:r w:rsidR="00B25128">
        <w:t>4</w:t>
      </w:r>
      <w:r w:rsidRPr="001F4D8E">
        <w:t>)(b)(i); and</w:t>
      </w:r>
    </w:p>
    <w:p w14:paraId="40F63B9E" w14:textId="77777777" w:rsidR="001F4D8E" w:rsidRPr="001F4D8E" w:rsidRDefault="001F4D8E" w:rsidP="001F4D8E">
      <w:pPr>
        <w:pStyle w:val="Paragraph"/>
        <w:numPr>
          <w:ilvl w:val="0"/>
          <w:numId w:val="63"/>
        </w:numPr>
      </w:pPr>
      <w:r w:rsidRPr="001F4D8E">
        <w:t>be calculated taking into account the general settlement principles in accordance with Article 44(1) of the EB Regulation.</w:t>
      </w:r>
    </w:p>
    <w:p w14:paraId="415A04C6" w14:textId="77777777" w:rsidR="001F4D8E" w:rsidRPr="001F4D8E" w:rsidRDefault="001F4D8E" w:rsidP="001F4D8E">
      <w:pPr>
        <w:numPr>
          <w:ilvl w:val="0"/>
          <w:numId w:val="13"/>
        </w:numPr>
        <w:spacing w:after="120" w:line="256" w:lineRule="auto"/>
        <w:jc w:val="both"/>
        <w:rPr>
          <w:rFonts w:ascii="Times New Roman" w:hAnsi="Times New Roman"/>
          <w:szCs w:val="22"/>
          <w:lang w:eastAsia="en-US"/>
        </w:rPr>
      </w:pPr>
      <w:r w:rsidRPr="001F4D8E">
        <w:rPr>
          <w:rFonts w:ascii="Times New Roman" w:hAnsi="Times New Roman"/>
          <w:szCs w:val="22"/>
          <w:lang w:eastAsia="en-US"/>
        </w:rPr>
        <w:t>Each connecting TSO shall calculate the value of avoided activation from frequency restoration reserves or replacement reserves for at least each ISP during which there has been no activation of balancing energy in either direction for the imbalance price area, in accordance with Articles 55(4)(b) and 55(5)(b) of the EB Regulation.</w:t>
      </w:r>
    </w:p>
    <w:p w14:paraId="3575FABE" w14:textId="77777777" w:rsidR="001F4D8E" w:rsidRPr="001F4D8E" w:rsidRDefault="001F4D8E" w:rsidP="001F4D8E">
      <w:pPr>
        <w:numPr>
          <w:ilvl w:val="0"/>
          <w:numId w:val="13"/>
        </w:numPr>
        <w:spacing w:after="120" w:line="256" w:lineRule="auto"/>
        <w:jc w:val="both"/>
        <w:rPr>
          <w:rFonts w:ascii="Times New Roman" w:hAnsi="Times New Roman"/>
          <w:szCs w:val="22"/>
          <w:lang w:eastAsia="en-US"/>
        </w:rPr>
      </w:pPr>
      <w:r w:rsidRPr="001F4D8E">
        <w:rPr>
          <w:rFonts w:ascii="Times New Roman" w:hAnsi="Times New Roman"/>
          <w:szCs w:val="22"/>
          <w:lang w:eastAsia="en-US"/>
        </w:rPr>
        <w:t>If the TSO applies dual imbalance pricing in accordance with Article 52(2)(d) of the EB Regulation, the TSO may calculate two values of avoided activation, one value for each direction, for each imbalance period during which there has been no activation of balancing energy in either direction in the imbalance price area. These two values may be equal.</w:t>
      </w:r>
    </w:p>
    <w:p w14:paraId="0A212A90" w14:textId="77777777" w:rsidR="001F4D8E" w:rsidRPr="001F4D8E" w:rsidRDefault="001F4D8E" w:rsidP="001F4D8E">
      <w:pPr>
        <w:numPr>
          <w:ilvl w:val="0"/>
          <w:numId w:val="13"/>
        </w:numPr>
        <w:spacing w:after="120" w:line="256" w:lineRule="auto"/>
        <w:jc w:val="both"/>
        <w:rPr>
          <w:rFonts w:ascii="Times New Roman" w:hAnsi="Times New Roman"/>
          <w:szCs w:val="22"/>
          <w:lang w:eastAsia="en-US"/>
        </w:rPr>
      </w:pPr>
      <w:r w:rsidRPr="001F4D8E">
        <w:rPr>
          <w:rFonts w:ascii="Times New Roman" w:hAnsi="Times New Roman"/>
          <w:szCs w:val="22"/>
          <w:lang w:eastAsia="en-US"/>
        </w:rPr>
        <w:t>For calculating the value or values of avoided activation in accordance with paragraph 2 or 3, each connecting TSO may only, if relevant, use the following prices:</w:t>
      </w:r>
    </w:p>
    <w:p w14:paraId="356A7A21" w14:textId="77777777" w:rsidR="001F4D8E" w:rsidRPr="001F4D8E" w:rsidRDefault="001F4D8E" w:rsidP="001F4D8E">
      <w:pPr>
        <w:pStyle w:val="Paragraph"/>
        <w:numPr>
          <w:ilvl w:val="0"/>
          <w:numId w:val="65"/>
        </w:numPr>
      </w:pPr>
      <w:r w:rsidRPr="001F4D8E">
        <w:lastRenderedPageBreak/>
        <w:t>the bid price or bid prices, per direction, for balancing energy for frequency restoration process available to this TSO for this ISP;</w:t>
      </w:r>
    </w:p>
    <w:p w14:paraId="50DC1715" w14:textId="77777777" w:rsidR="001F4D8E" w:rsidRPr="001F4D8E" w:rsidRDefault="001F4D8E" w:rsidP="001F4D8E">
      <w:pPr>
        <w:pStyle w:val="Paragraph"/>
        <w:numPr>
          <w:ilvl w:val="0"/>
          <w:numId w:val="63"/>
        </w:numPr>
      </w:pPr>
      <w:r w:rsidRPr="001F4D8E">
        <w:t>the bid price or bid prices, per direction, for balancing energy for replacement reserve process available to this TSO for this ISP.</w:t>
      </w:r>
    </w:p>
    <w:p w14:paraId="3240DA71" w14:textId="3D880C9E" w:rsidR="005E0AF0" w:rsidRPr="00F70393" w:rsidRDefault="001F4D8E" w:rsidP="00D02952">
      <w:pPr>
        <w:pStyle w:val="Artnr"/>
        <w:rPr>
          <w:lang w:eastAsia="en-US"/>
        </w:rPr>
      </w:pPr>
      <w:bookmarkStart w:id="45" w:name="_Toc41647766"/>
      <w:r>
        <w:rPr>
          <w:rFonts w:asciiTheme="minorHAnsi" w:hAnsiTheme="minorHAnsi" w:cstheme="minorHAnsi"/>
        </w:rPr>
        <w:t>Article 11</w:t>
      </w:r>
      <w:r w:rsidR="00F24B83" w:rsidRPr="00F70393">
        <w:rPr>
          <w:rFonts w:asciiTheme="minorHAnsi" w:hAnsiTheme="minorHAnsi" w:cstheme="minorHAnsi"/>
        </w:rPr>
        <w:br/>
      </w:r>
      <w:r w:rsidRPr="001F4D8E">
        <w:rPr>
          <w:lang w:eastAsia="en-US"/>
        </w:rPr>
        <w:t>Definition of conditions and methodology for applying dual imbalance pricing</w:t>
      </w:r>
      <w:bookmarkEnd w:id="45"/>
    </w:p>
    <w:p w14:paraId="630920B4" w14:textId="77777777" w:rsidR="001F4D8E" w:rsidRPr="001F4D8E" w:rsidRDefault="001F4D8E" w:rsidP="001F4D8E">
      <w:pPr>
        <w:numPr>
          <w:ilvl w:val="0"/>
          <w:numId w:val="66"/>
        </w:numPr>
        <w:spacing w:after="120" w:line="256" w:lineRule="auto"/>
        <w:jc w:val="both"/>
        <w:rPr>
          <w:rFonts w:ascii="Times New Roman" w:hAnsi="Times New Roman"/>
          <w:szCs w:val="22"/>
          <w:lang w:eastAsia="en-US"/>
        </w:rPr>
      </w:pPr>
      <w:bookmarkStart w:id="46" w:name="_Toc444812285"/>
      <w:bookmarkStart w:id="47" w:name="_Toc444694016"/>
      <w:bookmarkStart w:id="48" w:name="_Toc440463606"/>
      <w:bookmarkStart w:id="49" w:name="_Toc440039014"/>
      <w:r w:rsidRPr="001F4D8E">
        <w:rPr>
          <w:rFonts w:ascii="Times New Roman" w:hAnsi="Times New Roman"/>
          <w:szCs w:val="22"/>
          <w:lang w:eastAsia="en-US"/>
        </w:rPr>
        <w:t>Each connecting TSO may propose to its relevant regulatory authority the application of dual imbalance pricing in an imbalance price area based on one of the following conditions, as required by Article 52(2)(d)(i) of the EB Regulation, where relevant:</w:t>
      </w:r>
    </w:p>
    <w:p w14:paraId="70387866" w14:textId="77777777" w:rsidR="001F4D8E" w:rsidRPr="001F4D8E" w:rsidRDefault="001F4D8E" w:rsidP="001F4D8E">
      <w:pPr>
        <w:pStyle w:val="Paragraph"/>
        <w:numPr>
          <w:ilvl w:val="0"/>
          <w:numId w:val="67"/>
        </w:numPr>
      </w:pPr>
      <w:r w:rsidRPr="001F4D8E">
        <w:t>For specific ISPs in which the TSO subsequently requests activation of both positive and negative balancing energy from frequency restoration reserves, if dual imbalance pricing is justified as a mitigation measure to avoid negative effects on FRCE target parameters in accordance with Article 128 of the SO Regulation, frequency stability in accordance with Article 3(34) of the SO Regulation and/or the ability to maintain power flows within the power flow limits in accordance with Article 32(1) and (2) of the SO Regulation as a result of BRPs acting on price incentives.</w:t>
      </w:r>
    </w:p>
    <w:p w14:paraId="416FC72F" w14:textId="77777777" w:rsidR="001F4D8E" w:rsidRPr="001F4D8E" w:rsidRDefault="001F4D8E" w:rsidP="001F4D8E">
      <w:pPr>
        <w:pStyle w:val="Paragraph"/>
        <w:numPr>
          <w:ilvl w:val="0"/>
          <w:numId w:val="65"/>
        </w:numPr>
      </w:pPr>
      <w:r w:rsidRPr="001F4D8E">
        <w:t xml:space="preserve">For specific ISPs in which imbalance price calculated according to Article 55(3) of the EB Regulation taking into account the main components according to Article 9 and the price calculated by activation optimisation function does not provide a locally adequate incentive in individual ISPs as the imbalance area is near balanced. In such ISPs, dual pricing is justified as a mitigation measure to avoid negative effects on FRCE target parameters. TSOs applying the dual pricing based on this condition shall detail in terms and conditions the threshold subject to approval of the relevant regulatory authority within which the imbalance area is considered near balanced.  </w:t>
      </w:r>
    </w:p>
    <w:p w14:paraId="78391FBA" w14:textId="77777777" w:rsidR="001F4D8E" w:rsidRPr="001F4D8E" w:rsidRDefault="001F4D8E" w:rsidP="001F4D8E">
      <w:pPr>
        <w:pStyle w:val="Paragraph"/>
        <w:numPr>
          <w:ilvl w:val="0"/>
          <w:numId w:val="65"/>
        </w:numPr>
      </w:pPr>
      <w:r w:rsidRPr="001F4D8E">
        <w:t xml:space="preserve">For specific ISPs in which the component in accordance with Article 9(6)(a) is larger than EUR zero (0) /MWh.  </w:t>
      </w:r>
    </w:p>
    <w:p w14:paraId="4283119D" w14:textId="77777777" w:rsidR="001F4D8E" w:rsidRPr="001F4D8E" w:rsidRDefault="001F4D8E" w:rsidP="001F4D8E">
      <w:pPr>
        <w:pStyle w:val="Paragraph"/>
        <w:numPr>
          <w:ilvl w:val="0"/>
          <w:numId w:val="65"/>
        </w:numPr>
      </w:pPr>
      <w:r w:rsidRPr="001F4D8E">
        <w:t>For central dispatching model for specific ISPs where the application of single imbalance pricing does not provide correct incentives to scheduling units to respect unit commitment and dispatch instructions issued by a TSO within the integrated scheduling process in order to ensure a secure system operation.</w:t>
      </w:r>
    </w:p>
    <w:p w14:paraId="3947955E" w14:textId="77777777" w:rsidR="001F4D8E" w:rsidRPr="001F4D8E" w:rsidRDefault="001F4D8E" w:rsidP="001F4D8E">
      <w:pPr>
        <w:pStyle w:val="Paragraph"/>
        <w:numPr>
          <w:ilvl w:val="0"/>
          <w:numId w:val="65"/>
        </w:numPr>
      </w:pPr>
      <w:r w:rsidRPr="001F4D8E">
        <w:t>For all ISPs where the imbalance settlement period is longer than or equal to 30 minutes due to an exemption from the requirement pursuant to Article 53 of the EB Regulation or based on derogation in accordance with Article 62(2)(d) of the EB Regulation, if dual imbalance pricing is justified as a mitigation measure to improve incentives to BRPs and avoid oscillations that may occur in case the self-regulation response by BRPs, which is linked to the longer ISP, overcompensates for the system imbalance which in turn triggers an opposite self-regulation response.</w:t>
      </w:r>
    </w:p>
    <w:p w14:paraId="0A3A0F1E" w14:textId="77777777" w:rsidR="001F4D8E" w:rsidRPr="001F4D8E" w:rsidRDefault="001F4D8E" w:rsidP="001F4D8E">
      <w:pPr>
        <w:numPr>
          <w:ilvl w:val="0"/>
          <w:numId w:val="66"/>
        </w:numPr>
        <w:spacing w:after="120" w:line="256" w:lineRule="auto"/>
        <w:jc w:val="both"/>
        <w:rPr>
          <w:rFonts w:ascii="Times New Roman" w:hAnsi="Times New Roman"/>
          <w:szCs w:val="22"/>
          <w:lang w:eastAsia="en-US"/>
        </w:rPr>
      </w:pPr>
      <w:r w:rsidRPr="001F4D8E">
        <w:rPr>
          <w:rFonts w:ascii="Times New Roman" w:hAnsi="Times New Roman"/>
          <w:szCs w:val="22"/>
          <w:lang w:eastAsia="en-US"/>
        </w:rPr>
        <w:t>The proposal for application of dual pricing pursuant to paragraph 1 shall provide a justification for applying dual pricing, including at least an assessment on:</w:t>
      </w:r>
    </w:p>
    <w:p w14:paraId="7062AED0" w14:textId="77777777" w:rsidR="001F4D8E" w:rsidRPr="001F4D8E" w:rsidRDefault="001F4D8E" w:rsidP="001F4D8E">
      <w:pPr>
        <w:pStyle w:val="Paragraph"/>
        <w:numPr>
          <w:ilvl w:val="0"/>
          <w:numId w:val="68"/>
        </w:numPr>
      </w:pPr>
      <w:r w:rsidRPr="001F4D8E">
        <w:t>the negative impacts of not applying the dual pricing as proposed by this TSO in terms of operational security;</w:t>
      </w:r>
    </w:p>
    <w:p w14:paraId="14D95541" w14:textId="77777777" w:rsidR="001F4D8E" w:rsidRPr="001F4D8E" w:rsidRDefault="001F4D8E" w:rsidP="001F4D8E">
      <w:pPr>
        <w:pStyle w:val="Paragraph"/>
        <w:numPr>
          <w:ilvl w:val="0"/>
          <w:numId w:val="67"/>
        </w:numPr>
      </w:pPr>
      <w:r w:rsidRPr="001F4D8E">
        <w:t xml:space="preserve">other possible impacts of applying the dual pricing as proposed by this TSO. </w:t>
      </w:r>
    </w:p>
    <w:p w14:paraId="70A86378" w14:textId="77777777" w:rsidR="001F4D8E" w:rsidRPr="001F4D8E" w:rsidRDefault="001F4D8E" w:rsidP="001F4D8E">
      <w:pPr>
        <w:numPr>
          <w:ilvl w:val="0"/>
          <w:numId w:val="66"/>
        </w:numPr>
        <w:spacing w:after="120" w:line="256" w:lineRule="auto"/>
        <w:jc w:val="both"/>
        <w:rPr>
          <w:rFonts w:ascii="Times New Roman" w:hAnsi="Times New Roman"/>
          <w:szCs w:val="22"/>
          <w:lang w:eastAsia="en-US"/>
        </w:rPr>
      </w:pPr>
      <w:r w:rsidRPr="001F4D8E">
        <w:rPr>
          <w:rFonts w:ascii="Times New Roman" w:hAnsi="Times New Roman"/>
          <w:szCs w:val="22"/>
          <w:lang w:eastAsia="en-US"/>
        </w:rPr>
        <w:lastRenderedPageBreak/>
        <w:t>A justification pursuant to paragraph 2 shall be based on operational and economic reasoning and criteria taking into account:</w:t>
      </w:r>
    </w:p>
    <w:p w14:paraId="06FCF007" w14:textId="77777777" w:rsidR="001F4D8E" w:rsidRPr="001F4D8E" w:rsidRDefault="001F4D8E" w:rsidP="001F4D8E">
      <w:pPr>
        <w:pStyle w:val="Paragraph"/>
        <w:numPr>
          <w:ilvl w:val="0"/>
          <w:numId w:val="69"/>
        </w:numPr>
      </w:pPr>
      <w:r w:rsidRPr="001F4D8E">
        <w:t xml:space="preserve">the objectives of the EB Regulation pursuant to Article 3 of the EB Regulation, </w:t>
      </w:r>
    </w:p>
    <w:p w14:paraId="3090F2B8" w14:textId="77777777" w:rsidR="001F4D8E" w:rsidRPr="001F4D8E" w:rsidRDefault="001F4D8E" w:rsidP="001F4D8E">
      <w:pPr>
        <w:pStyle w:val="Paragraph"/>
        <w:numPr>
          <w:ilvl w:val="0"/>
          <w:numId w:val="68"/>
        </w:numPr>
      </w:pPr>
      <w:r w:rsidRPr="001F4D8E">
        <w:t>the objectives of the SO Regulation pursuant to Article 4(2) of the SO Regulation, and</w:t>
      </w:r>
    </w:p>
    <w:p w14:paraId="43BC3CD5" w14:textId="77777777" w:rsidR="001F4D8E" w:rsidRPr="001F4D8E" w:rsidRDefault="001F4D8E" w:rsidP="001F4D8E">
      <w:pPr>
        <w:pStyle w:val="Paragraph"/>
        <w:numPr>
          <w:ilvl w:val="0"/>
          <w:numId w:val="68"/>
        </w:numPr>
      </w:pPr>
      <w:r w:rsidRPr="001F4D8E">
        <w:t>the general settlement principles of the EB Regulation pursuant to Article 44 of the EB Regulation.</w:t>
      </w:r>
    </w:p>
    <w:p w14:paraId="277695DE" w14:textId="77777777" w:rsidR="001F4D8E" w:rsidRPr="001F4D8E" w:rsidRDefault="001F4D8E" w:rsidP="001F4D8E">
      <w:pPr>
        <w:numPr>
          <w:ilvl w:val="0"/>
          <w:numId w:val="66"/>
        </w:numPr>
        <w:spacing w:after="120" w:line="256" w:lineRule="auto"/>
        <w:jc w:val="both"/>
        <w:rPr>
          <w:rFonts w:ascii="Times New Roman" w:hAnsi="Times New Roman"/>
          <w:szCs w:val="22"/>
          <w:lang w:eastAsia="en-US"/>
        </w:rPr>
      </w:pPr>
      <w:r w:rsidRPr="001F4D8E">
        <w:rPr>
          <w:rFonts w:ascii="Times New Roman" w:hAnsi="Times New Roman"/>
          <w:szCs w:val="22"/>
          <w:lang w:eastAsia="en-US"/>
        </w:rPr>
        <w:t>In case the relevant regulatory authority approves the application of dual imbalance pricing pursuant to Article 52(2)(d)(i) of the EB Regulation, the TSO shall calculate an imbalance price:</w:t>
      </w:r>
    </w:p>
    <w:p w14:paraId="0B601B00" w14:textId="0DF553CD" w:rsidR="001F4D8E" w:rsidRPr="001F4D8E" w:rsidRDefault="001F4D8E" w:rsidP="001F4D8E">
      <w:pPr>
        <w:pStyle w:val="Paragraph"/>
        <w:numPr>
          <w:ilvl w:val="0"/>
          <w:numId w:val="70"/>
        </w:numPr>
      </w:pPr>
      <w:r w:rsidRPr="001F4D8E">
        <w:t>for aggravating imbalances in accordance with the imbalance pric</w:t>
      </w:r>
      <w:r w:rsidR="0078610B">
        <w:t>e</w:t>
      </w:r>
      <w:r w:rsidRPr="001F4D8E">
        <w:t xml:space="preserve"> </w:t>
      </w:r>
      <w:r w:rsidR="0078610B">
        <w:t xml:space="preserve">calculated </w:t>
      </w:r>
      <w:r w:rsidRPr="001F4D8E">
        <w:t xml:space="preserve">pursuant to Article </w:t>
      </w:r>
      <w:r w:rsidR="0078610B">
        <w:t>9</w:t>
      </w:r>
      <w:r w:rsidRPr="001F4D8E">
        <w:t>;</w:t>
      </w:r>
    </w:p>
    <w:p w14:paraId="00F88F11" w14:textId="77777777" w:rsidR="001F4D8E" w:rsidRPr="001F4D8E" w:rsidRDefault="001F4D8E" w:rsidP="001F4D8E">
      <w:pPr>
        <w:pStyle w:val="Paragraph"/>
        <w:numPr>
          <w:ilvl w:val="0"/>
          <w:numId w:val="69"/>
        </w:numPr>
      </w:pPr>
      <w:r w:rsidRPr="001F4D8E">
        <w:t>for non-aggravating imbalances in accordance to either:</w:t>
      </w:r>
    </w:p>
    <w:p w14:paraId="5A953E44" w14:textId="179CA9E1" w:rsidR="001F4D8E" w:rsidRPr="001F4D8E" w:rsidRDefault="001F4D8E" w:rsidP="008B4190">
      <w:pPr>
        <w:pStyle w:val="Numbering"/>
        <w:numPr>
          <w:ilvl w:val="0"/>
          <w:numId w:val="72"/>
        </w:numPr>
        <w:rPr>
          <w:lang w:eastAsia="en-US"/>
        </w:rPr>
      </w:pPr>
      <w:r w:rsidRPr="001F4D8E">
        <w:rPr>
          <w:lang w:eastAsia="en-US"/>
        </w:rPr>
        <w:t>the methodology for calculation of the value of avoided activation pursuant to Article 10, and including, where relevant the components pursuant to the Article 9(6); or</w:t>
      </w:r>
    </w:p>
    <w:p w14:paraId="2A828E4C" w14:textId="41E6D73B" w:rsidR="001F4D8E" w:rsidRDefault="001F4D8E" w:rsidP="008B4190">
      <w:pPr>
        <w:pStyle w:val="Numbering"/>
        <w:numPr>
          <w:ilvl w:val="0"/>
          <w:numId w:val="72"/>
        </w:numPr>
        <w:rPr>
          <w:lang w:eastAsia="en-US"/>
        </w:rPr>
      </w:pPr>
      <w:r>
        <w:rPr>
          <w:lang w:eastAsia="en-US"/>
        </w:rPr>
        <w:t xml:space="preserve">the imbalance price calculated pursuant to Article 9. </w:t>
      </w:r>
    </w:p>
    <w:p w14:paraId="77D462AB" w14:textId="77777777" w:rsidR="001524E8" w:rsidRPr="001F4D8E" w:rsidRDefault="001524E8" w:rsidP="001524E8">
      <w:pPr>
        <w:pStyle w:val="Numbering"/>
        <w:rPr>
          <w:lang w:eastAsia="en-US"/>
        </w:rPr>
      </w:pPr>
    </w:p>
    <w:p w14:paraId="7259B7F6" w14:textId="4D754016" w:rsidR="001524E8" w:rsidRPr="00217D52" w:rsidRDefault="001524E8" w:rsidP="001524E8">
      <w:pPr>
        <w:pStyle w:val="Artnr"/>
      </w:pPr>
      <w:bookmarkStart w:id="50" w:name="_Toc527965927"/>
      <w:bookmarkStart w:id="51" w:name="_Toc40801505"/>
      <w:bookmarkStart w:id="52" w:name="_Toc41647767"/>
      <w:bookmarkEnd w:id="46"/>
      <w:bookmarkEnd w:id="47"/>
      <w:bookmarkEnd w:id="48"/>
      <w:bookmarkEnd w:id="49"/>
      <w:r w:rsidRPr="00217D52">
        <w:t xml:space="preserve">TITLE </w:t>
      </w:r>
      <w:r>
        <w:t>IV</w:t>
      </w:r>
      <w:r w:rsidRPr="00217D52">
        <w:br/>
        <w:t>Final provisions</w:t>
      </w:r>
      <w:bookmarkEnd w:id="50"/>
      <w:bookmarkEnd w:id="51"/>
      <w:bookmarkEnd w:id="52"/>
    </w:p>
    <w:p w14:paraId="76F35C03" w14:textId="77777777" w:rsidR="001524E8" w:rsidRPr="00217D52" w:rsidRDefault="001524E8" w:rsidP="001524E8">
      <w:pPr>
        <w:pStyle w:val="Artnr"/>
      </w:pPr>
      <w:bookmarkStart w:id="53" w:name="_Toc513039784"/>
      <w:bookmarkStart w:id="54" w:name="_Toc513821422"/>
      <w:bookmarkStart w:id="55" w:name="_Toc527965928"/>
      <w:bookmarkStart w:id="56" w:name="_Toc40801506"/>
      <w:bookmarkStart w:id="57" w:name="_Toc41647768"/>
      <w:r w:rsidRPr="00217D52">
        <w:t>Article 12</w:t>
      </w:r>
      <w:r w:rsidRPr="00217D52">
        <w:br/>
        <w:t xml:space="preserve">Publication and implementation of the </w:t>
      </w:r>
      <w:bookmarkEnd w:id="53"/>
      <w:bookmarkEnd w:id="54"/>
      <w:r w:rsidRPr="00217D52">
        <w:t>imbalance settlement harmonisation methodology</w:t>
      </w:r>
      <w:bookmarkEnd w:id="55"/>
      <w:bookmarkEnd w:id="56"/>
      <w:bookmarkEnd w:id="57"/>
    </w:p>
    <w:p w14:paraId="068FD1CB" w14:textId="77777777" w:rsidR="001524E8" w:rsidRPr="001524E8" w:rsidRDefault="001524E8" w:rsidP="001524E8">
      <w:pPr>
        <w:numPr>
          <w:ilvl w:val="0"/>
          <w:numId w:val="74"/>
        </w:numPr>
        <w:spacing w:after="120" w:line="256" w:lineRule="auto"/>
        <w:jc w:val="both"/>
        <w:rPr>
          <w:rFonts w:ascii="Times New Roman" w:hAnsi="Times New Roman"/>
          <w:szCs w:val="22"/>
          <w:lang w:eastAsia="en-US"/>
        </w:rPr>
      </w:pPr>
      <w:r w:rsidRPr="001524E8">
        <w:rPr>
          <w:rFonts w:ascii="Times New Roman" w:hAnsi="Times New Roman"/>
          <w:szCs w:val="22"/>
          <w:lang w:eastAsia="en-US"/>
        </w:rPr>
        <w:t>The TSOs shall publish the imbalance settlement harmonisation methodology</w:t>
      </w:r>
      <w:r w:rsidRPr="001524E8" w:rsidDel="007D6405">
        <w:rPr>
          <w:rFonts w:ascii="Times New Roman" w:hAnsi="Times New Roman"/>
          <w:szCs w:val="22"/>
          <w:lang w:eastAsia="en-US"/>
        </w:rPr>
        <w:t xml:space="preserve"> </w:t>
      </w:r>
      <w:r w:rsidRPr="001524E8">
        <w:rPr>
          <w:rFonts w:ascii="Times New Roman" w:hAnsi="Times New Roman"/>
          <w:szCs w:val="22"/>
          <w:lang w:eastAsia="en-US"/>
        </w:rPr>
        <w:t xml:space="preserve">without undue delay after a decision has been taken by the European Union Agency for the Cooperation of Energy Regulators, in accordance with Article 7 of the EB Regulation. </w:t>
      </w:r>
    </w:p>
    <w:p w14:paraId="56701463" w14:textId="77777777" w:rsidR="001524E8" w:rsidRPr="001524E8" w:rsidRDefault="001524E8" w:rsidP="001524E8">
      <w:pPr>
        <w:numPr>
          <w:ilvl w:val="0"/>
          <w:numId w:val="74"/>
        </w:numPr>
        <w:spacing w:after="120" w:line="256" w:lineRule="auto"/>
        <w:jc w:val="both"/>
        <w:rPr>
          <w:rFonts w:ascii="Times New Roman" w:hAnsi="Times New Roman"/>
          <w:szCs w:val="22"/>
          <w:lang w:eastAsia="en-US"/>
        </w:rPr>
      </w:pPr>
      <w:r w:rsidRPr="001524E8">
        <w:rPr>
          <w:rFonts w:ascii="Times New Roman" w:hAnsi="Times New Roman"/>
          <w:szCs w:val="22"/>
          <w:lang w:eastAsia="en-US"/>
        </w:rPr>
        <w:t>Each TSO shall implement the Articles of the imbalance settlement harmonisation methodology, relevant to their dispatching model, self-dispatching or central dispatching, in accordance with Article 52(4) of the EB Regulation, no later than eighteen months after approval.</w:t>
      </w:r>
    </w:p>
    <w:p w14:paraId="24CB0A49" w14:textId="77777777" w:rsidR="001524E8" w:rsidRPr="001524E8" w:rsidRDefault="001524E8" w:rsidP="001524E8">
      <w:pPr>
        <w:numPr>
          <w:ilvl w:val="0"/>
          <w:numId w:val="74"/>
        </w:numPr>
        <w:spacing w:after="120" w:line="256" w:lineRule="auto"/>
        <w:jc w:val="both"/>
        <w:rPr>
          <w:rFonts w:ascii="Times New Roman" w:hAnsi="Times New Roman"/>
          <w:szCs w:val="22"/>
          <w:lang w:eastAsia="en-US"/>
        </w:rPr>
      </w:pPr>
      <w:r w:rsidRPr="001524E8">
        <w:rPr>
          <w:rFonts w:ascii="Times New Roman" w:hAnsi="Times New Roman"/>
          <w:szCs w:val="22"/>
          <w:lang w:eastAsia="en-US"/>
        </w:rPr>
        <w:t>Following the European report on integration of balancing markets published by ENTSO-E, pursuant to Article 59(1) of the EB Regulation, two years after the implementation deadline of the European Platforms for the exchange of balancing energy pursuant to Articles 20(6) and 21(6) of the EB Regulation, all TSOs shall assess the need for further harmonisation of the imbalance settlement, in line with the objectives of Article 3 of the EB Regulation, based on the assessment of the consequences and possible distortions due to non-harmonisation, pursuant to Article 59(3)(i) of the EB Regulation. The TSOs shall publish this assessment and invite stakeholders to submit comments on that. One year after the publication of this European report, all TSOs shall submit their final assessment together with the comments received by the stakeholders to all regulatory authorities and ACER.</w:t>
      </w:r>
    </w:p>
    <w:p w14:paraId="3240DAFD" w14:textId="26903B44" w:rsidR="0050618F" w:rsidRPr="00F70393" w:rsidRDefault="001524E8" w:rsidP="00527EF1">
      <w:pPr>
        <w:pStyle w:val="Artnr"/>
        <w:rPr>
          <w:lang w:eastAsia="en-US"/>
        </w:rPr>
      </w:pPr>
      <w:bookmarkStart w:id="58" w:name="_Toc445298921"/>
      <w:bookmarkStart w:id="59" w:name="_Toc445299183"/>
      <w:bookmarkStart w:id="60" w:name="_Toc445825439"/>
      <w:bookmarkStart w:id="61" w:name="_Toc41647769"/>
      <w:r>
        <w:rPr>
          <w:rFonts w:asciiTheme="minorHAnsi" w:hAnsiTheme="minorHAnsi" w:cstheme="minorHAnsi"/>
        </w:rPr>
        <w:t>Article 13</w:t>
      </w:r>
      <w:r w:rsidR="002D7645" w:rsidRPr="00F70393">
        <w:rPr>
          <w:rFonts w:asciiTheme="minorHAnsi" w:hAnsiTheme="minorHAnsi" w:cstheme="minorHAnsi"/>
        </w:rPr>
        <w:br/>
      </w:r>
      <w:r w:rsidR="0050618F" w:rsidRPr="00F70393">
        <w:rPr>
          <w:lang w:eastAsia="en-US"/>
        </w:rPr>
        <w:t>Language</w:t>
      </w:r>
      <w:bookmarkEnd w:id="58"/>
      <w:bookmarkEnd w:id="59"/>
      <w:bookmarkEnd w:id="60"/>
      <w:bookmarkEnd w:id="61"/>
    </w:p>
    <w:p w14:paraId="3240DAFF" w14:textId="1F65C543" w:rsidR="00452608" w:rsidRPr="00F70393" w:rsidRDefault="008F3E3A" w:rsidP="001A03C3">
      <w:pPr>
        <w:pStyle w:val="textregular"/>
      </w:pPr>
      <w:r w:rsidRPr="008F3E3A">
        <w:rPr>
          <w:szCs w:val="22"/>
        </w:rPr>
        <w:t>The reference language for th</w:t>
      </w:r>
      <w:r>
        <w:rPr>
          <w:szCs w:val="22"/>
        </w:rPr>
        <w:t>is</w:t>
      </w:r>
      <w:r w:rsidRPr="008F3E3A">
        <w:rPr>
          <w:szCs w:val="22"/>
        </w:rPr>
        <w:t xml:space="preserve"> imbalance settlement harmonisation methodology shall be English. For the avoidance of doubt, where TSOs need to translate th</w:t>
      </w:r>
      <w:r>
        <w:rPr>
          <w:szCs w:val="22"/>
        </w:rPr>
        <w:t>is</w:t>
      </w:r>
      <w:r w:rsidRPr="008F3E3A">
        <w:rPr>
          <w:szCs w:val="22"/>
        </w:rPr>
        <w:t xml:space="preserve"> imbalance settlement harmonisation methodology into </w:t>
      </w:r>
      <w:r w:rsidRPr="008F3E3A">
        <w:rPr>
          <w:szCs w:val="22"/>
        </w:rPr>
        <w:lastRenderedPageBreak/>
        <w:t>their national language(s), in the event of inconsistencies between the English version published by TSOs in accordance with Article 7 of the EB Regulation and any version in another language, the relevant TSOs shall, in accordance with national legislation, provide the relevant national regulatory authorities with an updated translation of the imbalance settlement harmonisation methodology.</w:t>
      </w:r>
    </w:p>
    <w:sectPr w:rsidR="00452608" w:rsidRPr="00F70393" w:rsidSect="00E2176E">
      <w:headerReference w:type="even" r:id="rId11"/>
      <w:headerReference w:type="default" r:id="rId12"/>
      <w:footerReference w:type="even" r:id="rId13"/>
      <w:footerReference w:type="default" r:id="rId14"/>
      <w:headerReference w:type="first" r:id="rId15"/>
      <w:footerReference w:type="first" r:id="rId16"/>
      <w:pgSz w:w="11906" w:h="16838"/>
      <w:pgMar w:top="1928" w:right="1021" w:bottom="1701" w:left="1361" w:header="709" w:footer="170"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0AD091" w16cid:durableId="2110C647"/>
  <w16cid:commentId w16cid:paraId="4B8C9E4C" w16cid:durableId="2110C648"/>
  <w16cid:commentId w16cid:paraId="4130F10B" w16cid:durableId="2110C649"/>
  <w16cid:commentId w16cid:paraId="07BD6574" w16cid:durableId="2110C64A"/>
  <w16cid:commentId w16cid:paraId="6DBF3D36" w16cid:durableId="2110C64B"/>
  <w16cid:commentId w16cid:paraId="7358BB26" w16cid:durableId="2110C64C"/>
  <w16cid:commentId w16cid:paraId="0070F77A" w16cid:durableId="2110C64D"/>
  <w16cid:commentId w16cid:paraId="5814A9D5" w16cid:durableId="2110C64E"/>
  <w16cid:commentId w16cid:paraId="234176D2" w16cid:durableId="2110C64F"/>
  <w16cid:commentId w16cid:paraId="1B31D966" w16cid:durableId="2110C650"/>
  <w16cid:commentId w16cid:paraId="5BE5E5B0" w16cid:durableId="2110C651"/>
  <w16cid:commentId w16cid:paraId="34D5E25D" w16cid:durableId="2110C652"/>
  <w16cid:commentId w16cid:paraId="0D770F08" w16cid:durableId="2110C653"/>
  <w16cid:commentId w16cid:paraId="2F69E0C0" w16cid:durableId="2110C654"/>
  <w16cid:commentId w16cid:paraId="7F625B66" w16cid:durableId="2110C655"/>
  <w16cid:commentId w16cid:paraId="46ECE188" w16cid:durableId="2110C656"/>
  <w16cid:commentId w16cid:paraId="5EC9B221" w16cid:durableId="2110C657"/>
  <w16cid:commentId w16cid:paraId="7D802CB4" w16cid:durableId="2110C658"/>
  <w16cid:commentId w16cid:paraId="726FF9E9" w16cid:durableId="2110C659"/>
  <w16cid:commentId w16cid:paraId="2A437D74" w16cid:durableId="2110C65A"/>
  <w16cid:commentId w16cid:paraId="2A5640FB" w16cid:durableId="2110C65B"/>
  <w16cid:commentId w16cid:paraId="50DDF3BD" w16cid:durableId="2110C65C"/>
  <w16cid:commentId w16cid:paraId="1BC2D9DF" w16cid:durableId="2110C65D"/>
  <w16cid:commentId w16cid:paraId="326FB0AC" w16cid:durableId="2110C65E"/>
  <w16cid:commentId w16cid:paraId="09D8B959" w16cid:durableId="2110C65F"/>
  <w16cid:commentId w16cid:paraId="59007A7E" w16cid:durableId="2110C660"/>
  <w16cid:commentId w16cid:paraId="2A284983" w16cid:durableId="2110C661"/>
  <w16cid:commentId w16cid:paraId="3FA622CD" w16cid:durableId="2110C662"/>
  <w16cid:commentId w16cid:paraId="29E394B8" w16cid:durableId="2110C663"/>
  <w16cid:commentId w16cid:paraId="60B416CC" w16cid:durableId="2110C664"/>
  <w16cid:commentId w16cid:paraId="13188F5C" w16cid:durableId="2110C665"/>
  <w16cid:commentId w16cid:paraId="752D481C" w16cid:durableId="2110C666"/>
  <w16cid:commentId w16cid:paraId="2FAE16C7" w16cid:durableId="2110C667"/>
  <w16cid:commentId w16cid:paraId="3353BB8C" w16cid:durableId="2110C668"/>
  <w16cid:commentId w16cid:paraId="40CC0358" w16cid:durableId="2110C669"/>
  <w16cid:commentId w16cid:paraId="1EF0D89A" w16cid:durableId="2110C66A"/>
  <w16cid:commentId w16cid:paraId="52DB4CCA" w16cid:durableId="2110C66B"/>
  <w16cid:commentId w16cid:paraId="6E376360" w16cid:durableId="2110C66C"/>
  <w16cid:commentId w16cid:paraId="370F8198" w16cid:durableId="2110C66D"/>
  <w16cid:commentId w16cid:paraId="0F588D51" w16cid:durableId="2110C66E"/>
  <w16cid:commentId w16cid:paraId="1FCCB53A" w16cid:durableId="2110C66F"/>
  <w16cid:commentId w16cid:paraId="113C62DC" w16cid:durableId="2110C670"/>
  <w16cid:commentId w16cid:paraId="1BC58403" w16cid:durableId="2110C671"/>
  <w16cid:commentId w16cid:paraId="50452542" w16cid:durableId="2110C672"/>
  <w16cid:commentId w16cid:paraId="092395C3" w16cid:durableId="2110C673"/>
  <w16cid:commentId w16cid:paraId="05D25529" w16cid:durableId="2110C674"/>
  <w16cid:commentId w16cid:paraId="6ED05B4B" w16cid:durableId="2110DE47"/>
  <w16cid:commentId w16cid:paraId="03EA1B52" w16cid:durableId="2110DE5C"/>
  <w16cid:commentId w16cid:paraId="4371721A" w16cid:durableId="2110E0AA"/>
  <w16cid:commentId w16cid:paraId="1F8A847B" w16cid:durableId="2110C675"/>
  <w16cid:commentId w16cid:paraId="18999904" w16cid:durableId="2110C676"/>
  <w16cid:commentId w16cid:paraId="0E1A9EF0" w16cid:durableId="2110E2B7"/>
  <w16cid:commentId w16cid:paraId="24145E85" w16cid:durableId="2110C677"/>
  <w16cid:commentId w16cid:paraId="57013B9A" w16cid:durableId="2110C678"/>
  <w16cid:commentId w16cid:paraId="348F58D9" w16cid:durableId="2110C679"/>
  <w16cid:commentId w16cid:paraId="5B0D1C16" w16cid:durableId="2110C67A"/>
  <w16cid:commentId w16cid:paraId="648B514C" w16cid:durableId="2110C67B"/>
  <w16cid:commentId w16cid:paraId="73A8FDBE" w16cid:durableId="2110C67C"/>
  <w16cid:commentId w16cid:paraId="0B5AEBD0" w16cid:durableId="2110C67D"/>
  <w16cid:commentId w16cid:paraId="749C455C" w16cid:durableId="2110C67E"/>
  <w16cid:commentId w16cid:paraId="67519AE9" w16cid:durableId="2110C67F"/>
  <w16cid:commentId w16cid:paraId="2CD57587" w16cid:durableId="2110C680"/>
  <w16cid:commentId w16cid:paraId="42C48F8F" w16cid:durableId="2110C681"/>
  <w16cid:commentId w16cid:paraId="0C2C5F79" w16cid:durableId="2110C682"/>
  <w16cid:commentId w16cid:paraId="2D2A506E" w16cid:durableId="2110C683"/>
  <w16cid:commentId w16cid:paraId="22A7BC47" w16cid:durableId="2110C684"/>
  <w16cid:commentId w16cid:paraId="272A9C6E" w16cid:durableId="2110E5A5"/>
  <w16cid:commentId w16cid:paraId="3BE9EE8F" w16cid:durableId="2110C685"/>
  <w16cid:commentId w16cid:paraId="38FA6893" w16cid:durableId="2110C686"/>
  <w16cid:commentId w16cid:paraId="24A8A8B8" w16cid:durableId="2110C687"/>
  <w16cid:commentId w16cid:paraId="1F744E4E" w16cid:durableId="2110C688"/>
  <w16cid:commentId w16cid:paraId="5456539F" w16cid:durableId="2110C689"/>
  <w16cid:commentId w16cid:paraId="33C1C2BD" w16cid:durableId="2110C68A"/>
  <w16cid:commentId w16cid:paraId="33865E1D" w16cid:durableId="2110C68B"/>
  <w16cid:commentId w16cid:paraId="43D87484" w16cid:durableId="2110C68C"/>
  <w16cid:commentId w16cid:paraId="5F9A5B59" w16cid:durableId="2110C68D"/>
  <w16cid:commentId w16cid:paraId="292C67BF" w16cid:durableId="2110C68E"/>
  <w16cid:commentId w16cid:paraId="426CDDE7" w16cid:durableId="2110C68F"/>
  <w16cid:commentId w16cid:paraId="4C9C37BE" w16cid:durableId="2110C690"/>
  <w16cid:commentId w16cid:paraId="12173B20" w16cid:durableId="2110C691"/>
  <w16cid:commentId w16cid:paraId="7C841829" w16cid:durableId="2110C692"/>
  <w16cid:commentId w16cid:paraId="57ADC72C" w16cid:durableId="2110C693"/>
  <w16cid:commentId w16cid:paraId="3736AE5B" w16cid:durableId="2110C694"/>
  <w16cid:commentId w16cid:paraId="15ACDF66" w16cid:durableId="2110C695"/>
  <w16cid:commentId w16cid:paraId="05066100" w16cid:durableId="2110C696"/>
  <w16cid:commentId w16cid:paraId="3DA4A352" w16cid:durableId="2110C697"/>
  <w16cid:commentId w16cid:paraId="13BFB28D" w16cid:durableId="2110C698"/>
  <w16cid:commentId w16cid:paraId="736DB31E" w16cid:durableId="2110C699"/>
  <w16cid:commentId w16cid:paraId="7CD96027" w16cid:durableId="2110C69A"/>
  <w16cid:commentId w16cid:paraId="7D6AEE8B" w16cid:durableId="2110C69B"/>
  <w16cid:commentId w16cid:paraId="255B9963" w16cid:durableId="2110C69C"/>
  <w16cid:commentId w16cid:paraId="4F04D924" w16cid:durableId="2110C69D"/>
  <w16cid:commentId w16cid:paraId="27F80680" w16cid:durableId="2110C69E"/>
  <w16cid:commentId w16cid:paraId="024BA9DA" w16cid:durableId="2110C69F"/>
  <w16cid:commentId w16cid:paraId="5306F890" w16cid:durableId="2110C6A0"/>
  <w16cid:commentId w16cid:paraId="5F87C146" w16cid:durableId="2110C6A1"/>
  <w16cid:commentId w16cid:paraId="673B97BD" w16cid:durableId="2110C6A2"/>
  <w16cid:commentId w16cid:paraId="448446A5" w16cid:durableId="2110C6A3"/>
  <w16cid:commentId w16cid:paraId="1F3CA725" w16cid:durableId="2110C6A4"/>
  <w16cid:commentId w16cid:paraId="5F16965C" w16cid:durableId="2110C6A5"/>
  <w16cid:commentId w16cid:paraId="750E1CA2" w16cid:durableId="2110C6A6"/>
  <w16cid:commentId w16cid:paraId="40A9F9BA" w16cid:durableId="2110C6A7"/>
  <w16cid:commentId w16cid:paraId="4A0F271D" w16cid:durableId="2110C6A8"/>
  <w16cid:commentId w16cid:paraId="5D314586" w16cid:durableId="2110C6A9"/>
  <w16cid:commentId w16cid:paraId="101B3A5A" w16cid:durableId="2110C6AA"/>
  <w16cid:commentId w16cid:paraId="2509DE1B" w16cid:durableId="2110C6AB"/>
  <w16cid:commentId w16cid:paraId="186AB53D" w16cid:durableId="2110C6AC"/>
  <w16cid:commentId w16cid:paraId="6EA7CC4C" w16cid:durableId="2110C6AD"/>
  <w16cid:commentId w16cid:paraId="0DD5436D" w16cid:durableId="2110C6AE"/>
  <w16cid:commentId w16cid:paraId="47B86973" w16cid:durableId="2110C6AF"/>
  <w16cid:commentId w16cid:paraId="28CC9D9B" w16cid:durableId="2110C6B0"/>
  <w16cid:commentId w16cid:paraId="3864913B" w16cid:durableId="2110C6B1"/>
  <w16cid:commentId w16cid:paraId="3243A411" w16cid:durableId="2110C6B2"/>
  <w16cid:commentId w16cid:paraId="686EA7FD" w16cid:durableId="2110C6B3"/>
  <w16cid:commentId w16cid:paraId="4C446224" w16cid:durableId="2110C6B4"/>
  <w16cid:commentId w16cid:paraId="6C5B82AF" w16cid:durableId="2110C6B5"/>
  <w16cid:commentId w16cid:paraId="15E8C1B7" w16cid:durableId="2110C6B6"/>
  <w16cid:commentId w16cid:paraId="6A74E65E" w16cid:durableId="2110F0BA"/>
  <w16cid:commentId w16cid:paraId="72AFF69B" w16cid:durableId="2110C6B7"/>
  <w16cid:commentId w16cid:paraId="1F40F4E5" w16cid:durableId="2110C6B8"/>
  <w16cid:commentId w16cid:paraId="0D1E567D" w16cid:durableId="2110C6B9"/>
  <w16cid:commentId w16cid:paraId="28DB83DF" w16cid:durableId="2110C6BA"/>
  <w16cid:commentId w16cid:paraId="2A81EAB6" w16cid:durableId="2110C6BB"/>
  <w16cid:commentId w16cid:paraId="1AA6D100" w16cid:durableId="2110C6BC"/>
  <w16cid:commentId w16cid:paraId="1284D297" w16cid:durableId="2110C6BD"/>
  <w16cid:commentId w16cid:paraId="36B4668B" w16cid:durableId="2110C6BE"/>
  <w16cid:commentId w16cid:paraId="44F815EE" w16cid:durableId="2110C6BF"/>
  <w16cid:commentId w16cid:paraId="0451E0FA" w16cid:durableId="2110C6C0"/>
  <w16cid:commentId w16cid:paraId="1E908E3F" w16cid:durableId="2110C6C1"/>
  <w16cid:commentId w16cid:paraId="79F4F264" w16cid:durableId="2110C6C2"/>
  <w16cid:commentId w16cid:paraId="25A7C9DE" w16cid:durableId="2110C6C3"/>
  <w16cid:commentId w16cid:paraId="12017F3F" w16cid:durableId="2110C6C4"/>
  <w16cid:commentId w16cid:paraId="0DA1A8BD" w16cid:durableId="2110C6C5"/>
  <w16cid:commentId w16cid:paraId="33A6CFD1" w16cid:durableId="2110C6C6"/>
  <w16cid:commentId w16cid:paraId="1561C61E" w16cid:durableId="2110C6C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40DB03" w14:textId="77777777" w:rsidR="00844A97" w:rsidRDefault="00844A97" w:rsidP="00B04144">
      <w:r>
        <w:separator/>
      </w:r>
    </w:p>
  </w:endnote>
  <w:endnote w:type="continuationSeparator" w:id="0">
    <w:p w14:paraId="3240DB04" w14:textId="77777777" w:rsidR="00844A97" w:rsidRDefault="00844A97" w:rsidP="00B04144">
      <w:r>
        <w:continuationSeparator/>
      </w:r>
    </w:p>
  </w:endnote>
  <w:endnote w:type="continuationNotice" w:id="1">
    <w:p w14:paraId="3240DB05" w14:textId="77777777" w:rsidR="00844A97" w:rsidRDefault="00844A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EU Albertin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8F91E" w14:textId="77777777" w:rsidR="00DF26D5" w:rsidRDefault="00DF26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8D10F" w14:textId="77777777" w:rsidR="00DF26D5" w:rsidRDefault="00DF26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CF82A" w14:textId="77777777" w:rsidR="00DF26D5" w:rsidRDefault="00DF2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40DB00" w14:textId="77777777" w:rsidR="00844A97" w:rsidRDefault="00844A97" w:rsidP="00B04144">
      <w:r>
        <w:separator/>
      </w:r>
    </w:p>
  </w:footnote>
  <w:footnote w:type="continuationSeparator" w:id="0">
    <w:p w14:paraId="3240DB01" w14:textId="77777777" w:rsidR="00844A97" w:rsidRDefault="00844A97" w:rsidP="00B04144">
      <w:r>
        <w:continuationSeparator/>
      </w:r>
    </w:p>
  </w:footnote>
  <w:footnote w:type="continuationNotice" w:id="1">
    <w:p w14:paraId="3240DB02" w14:textId="77777777" w:rsidR="00844A97" w:rsidRDefault="00844A9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5EF27" w14:textId="77777777" w:rsidR="00DF26D5" w:rsidRDefault="00DF26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0DB06" w14:textId="12D35907" w:rsidR="00844A97" w:rsidRPr="00030E75" w:rsidRDefault="00844A97" w:rsidP="00030E75">
    <w:pPr>
      <w:pStyle w:val="Header"/>
    </w:pPr>
    <w:r w:rsidRPr="00030E75">
      <w:rPr>
        <w:noProof/>
        <w:color w:val="000000"/>
        <w:lang w:eastAsia="en-GB"/>
      </w:rPr>
      <w:t>imbalance settlement harmonisation methodology</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39743" w14:textId="77777777" w:rsidR="00DF26D5" w:rsidRDefault="00DF26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E3C8A"/>
    <w:multiLevelType w:val="hybridMultilevel"/>
    <w:tmpl w:val="8490119A"/>
    <w:lvl w:ilvl="0" w:tplc="372E3E00">
      <w:start w:val="1"/>
      <w:numFmt w:val="decimal"/>
      <w:pStyle w:val="Chaptername"/>
      <w:lvlText w:val="Chapter %1"/>
      <w:lvlJc w:val="center"/>
      <w:pPr>
        <w:ind w:left="7448" w:hanging="360"/>
      </w:pPr>
      <w:rPr>
        <w:rFonts w:ascii="Times New Roman" w:hAnsi="Times New Roman" w:cs="Times New Roman" w:hint="default"/>
        <w:b/>
        <w:bCs w:val="0"/>
        <w:i w:val="0"/>
        <w:iCs w:val="0"/>
        <w:caps w:val="0"/>
        <w:strike w:val="0"/>
        <w:dstrike w:val="0"/>
        <w:vanish w:val="0"/>
        <w:color w:val="23236E" w:themeColor="text2"/>
        <w:spacing w:val="0"/>
        <w:kern w:val="0"/>
        <w:position w:val="0"/>
        <w:sz w:val="24"/>
        <w:u w:val="none"/>
        <w:effect w:val="none"/>
        <w:vertAlign w:val="baseline"/>
        <w:em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DC46A7"/>
    <w:multiLevelType w:val="multilevel"/>
    <w:tmpl w:val="8C40E192"/>
    <w:lvl w:ilvl="0">
      <w:start w:val="1"/>
      <w:numFmt w:val="lowerLetter"/>
      <w:lvlText w:val="(%1)"/>
      <w:lvlJc w:val="left"/>
      <w:pPr>
        <w:ind w:left="1069" w:hanging="360"/>
      </w:pPr>
      <w:rPr>
        <w:rFonts w:hint="default"/>
        <w:sz w:val="22"/>
      </w:rPr>
    </w:lvl>
    <w:lvl w:ilvl="1">
      <w:start w:val="1"/>
      <w:numFmt w:val="lowerLetter"/>
      <w:lvlText w:val="(%2)"/>
      <w:lvlJc w:val="left"/>
      <w:pPr>
        <w:ind w:left="1276" w:hanging="34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none"/>
      <w:lvlText w:val=""/>
      <w:lvlJc w:val="left"/>
      <w:pPr>
        <w:ind w:left="709" w:firstLine="0"/>
      </w:pPr>
      <w:rPr>
        <w:rFonts w:hint="default"/>
      </w:rPr>
    </w:lvl>
    <w:lvl w:ilvl="3">
      <w:start w:val="1"/>
      <w:numFmt w:val="lowerLetter"/>
      <w:lvlText w:val="(%4)"/>
      <w:lvlJc w:val="left"/>
      <w:pPr>
        <w:ind w:left="2155" w:firstLine="0"/>
      </w:pPr>
      <w:rPr>
        <w:rFonts w:hint="default"/>
      </w:rPr>
    </w:lvl>
    <w:lvl w:ilvl="4">
      <w:start w:val="1"/>
      <w:numFmt w:val="none"/>
      <w:lvlText w:val=""/>
      <w:lvlJc w:val="left"/>
      <w:pPr>
        <w:ind w:left="709" w:firstLine="0"/>
      </w:pPr>
      <w:rPr>
        <w:rFonts w:hint="default"/>
      </w:rPr>
    </w:lvl>
    <w:lvl w:ilvl="5">
      <w:start w:val="1"/>
      <w:numFmt w:val="none"/>
      <w:lvlText w:val=""/>
      <w:lvlJc w:val="left"/>
      <w:pPr>
        <w:ind w:left="709" w:firstLine="0"/>
      </w:pPr>
      <w:rPr>
        <w:rFonts w:hint="default"/>
      </w:rPr>
    </w:lvl>
    <w:lvl w:ilvl="6">
      <w:start w:val="1"/>
      <w:numFmt w:val="none"/>
      <w:lvlText w:val=""/>
      <w:lvlJc w:val="left"/>
      <w:pPr>
        <w:ind w:left="709" w:firstLine="0"/>
      </w:pPr>
      <w:rPr>
        <w:rFonts w:hint="default"/>
      </w:rPr>
    </w:lvl>
    <w:lvl w:ilvl="7">
      <w:start w:val="1"/>
      <w:numFmt w:val="none"/>
      <w:lvlText w:val=""/>
      <w:lvlJc w:val="left"/>
      <w:pPr>
        <w:ind w:left="709" w:firstLine="0"/>
      </w:pPr>
      <w:rPr>
        <w:rFonts w:hint="default"/>
      </w:rPr>
    </w:lvl>
    <w:lvl w:ilvl="8">
      <w:start w:val="1"/>
      <w:numFmt w:val="none"/>
      <w:lvlText w:val=""/>
      <w:lvlJc w:val="left"/>
      <w:pPr>
        <w:ind w:left="709" w:firstLine="0"/>
      </w:pPr>
      <w:rPr>
        <w:rFonts w:hint="default"/>
      </w:rPr>
    </w:lvl>
  </w:abstractNum>
  <w:abstractNum w:abstractNumId="2" w15:restartNumberingAfterBreak="0">
    <w:nsid w:val="0DF21FF8"/>
    <w:multiLevelType w:val="hybridMultilevel"/>
    <w:tmpl w:val="543AAFD6"/>
    <w:lvl w:ilvl="0" w:tplc="2CA2B898">
      <w:start w:val="1"/>
      <w:numFmt w:val="decimal"/>
      <w:lvlText w:val="(%1)"/>
      <w:lvlJc w:val="left"/>
      <w:pPr>
        <w:ind w:left="360" w:hanging="360"/>
      </w:pPr>
      <w:rPr>
        <w:rFonts w:hint="default"/>
      </w:rPr>
    </w:lvl>
    <w:lvl w:ilvl="1" w:tplc="04090019">
      <w:start w:val="1"/>
      <w:numFmt w:val="lowerLetter"/>
      <w:lvlText w:val="%2."/>
      <w:lvlJc w:val="left"/>
      <w:pPr>
        <w:ind w:left="732" w:hanging="360"/>
      </w:pPr>
    </w:lvl>
    <w:lvl w:ilvl="2" w:tplc="0409001B">
      <w:start w:val="1"/>
      <w:numFmt w:val="lowerRoman"/>
      <w:lvlText w:val="%3."/>
      <w:lvlJc w:val="right"/>
      <w:pPr>
        <w:ind w:left="1452" w:hanging="180"/>
      </w:pPr>
    </w:lvl>
    <w:lvl w:ilvl="3" w:tplc="098824A4">
      <w:start w:val="1"/>
      <w:numFmt w:val="lowerRoman"/>
      <w:lvlText w:val="(%4)"/>
      <w:lvlJc w:val="right"/>
      <w:pPr>
        <w:ind w:left="2172" w:hanging="360"/>
      </w:pPr>
      <w:rPr>
        <w:rFonts w:hint="default"/>
      </w:rPr>
    </w:lvl>
    <w:lvl w:ilvl="4" w:tplc="04090019" w:tentative="1">
      <w:start w:val="1"/>
      <w:numFmt w:val="lowerLetter"/>
      <w:lvlText w:val="%5."/>
      <w:lvlJc w:val="left"/>
      <w:pPr>
        <w:ind w:left="2892" w:hanging="360"/>
      </w:pPr>
    </w:lvl>
    <w:lvl w:ilvl="5" w:tplc="0409001B" w:tentative="1">
      <w:start w:val="1"/>
      <w:numFmt w:val="lowerRoman"/>
      <w:lvlText w:val="%6."/>
      <w:lvlJc w:val="right"/>
      <w:pPr>
        <w:ind w:left="3612" w:hanging="180"/>
      </w:pPr>
    </w:lvl>
    <w:lvl w:ilvl="6" w:tplc="0409000F" w:tentative="1">
      <w:start w:val="1"/>
      <w:numFmt w:val="decimal"/>
      <w:lvlText w:val="%7."/>
      <w:lvlJc w:val="left"/>
      <w:pPr>
        <w:ind w:left="4332" w:hanging="360"/>
      </w:pPr>
    </w:lvl>
    <w:lvl w:ilvl="7" w:tplc="04090019" w:tentative="1">
      <w:start w:val="1"/>
      <w:numFmt w:val="lowerLetter"/>
      <w:lvlText w:val="%8."/>
      <w:lvlJc w:val="left"/>
      <w:pPr>
        <w:ind w:left="5052" w:hanging="360"/>
      </w:pPr>
    </w:lvl>
    <w:lvl w:ilvl="8" w:tplc="0409001B" w:tentative="1">
      <w:start w:val="1"/>
      <w:numFmt w:val="lowerRoman"/>
      <w:lvlText w:val="%9."/>
      <w:lvlJc w:val="right"/>
      <w:pPr>
        <w:ind w:left="5772" w:hanging="180"/>
      </w:pPr>
    </w:lvl>
  </w:abstractNum>
  <w:abstractNum w:abstractNumId="3" w15:restartNumberingAfterBreak="0">
    <w:nsid w:val="0F060404"/>
    <w:multiLevelType w:val="hybridMultilevel"/>
    <w:tmpl w:val="FB54509E"/>
    <w:lvl w:ilvl="0" w:tplc="098824A4">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F8C10DE"/>
    <w:multiLevelType w:val="multilevel"/>
    <w:tmpl w:val="E1AE68AE"/>
    <w:lvl w:ilvl="0">
      <w:start w:val="1"/>
      <w:numFmt w:val="decimal"/>
      <w:lvlText w:val="%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454" w:hanging="341"/>
      </w:pPr>
      <w:rPr>
        <w:rFonts w:ascii="Times New Roman" w:hAnsi="Times New Roman" w:cs="Times New Roman" w:hint="default"/>
        <w:color w:val="auto"/>
        <w:sz w:val="22"/>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118A1634"/>
    <w:multiLevelType w:val="multilevel"/>
    <w:tmpl w:val="8C40E192"/>
    <w:lvl w:ilvl="0">
      <w:start w:val="1"/>
      <w:numFmt w:val="lowerLetter"/>
      <w:lvlText w:val="(%1)"/>
      <w:lvlJc w:val="left"/>
      <w:pPr>
        <w:ind w:left="1069" w:hanging="360"/>
      </w:pPr>
      <w:rPr>
        <w:rFonts w:hint="default"/>
        <w:sz w:val="22"/>
      </w:rPr>
    </w:lvl>
    <w:lvl w:ilvl="1">
      <w:start w:val="1"/>
      <w:numFmt w:val="lowerLetter"/>
      <w:lvlText w:val="(%2)"/>
      <w:lvlJc w:val="left"/>
      <w:pPr>
        <w:ind w:left="1276" w:hanging="34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none"/>
      <w:lvlText w:val=""/>
      <w:lvlJc w:val="left"/>
      <w:pPr>
        <w:ind w:left="709" w:firstLine="0"/>
      </w:pPr>
      <w:rPr>
        <w:rFonts w:hint="default"/>
      </w:rPr>
    </w:lvl>
    <w:lvl w:ilvl="3">
      <w:start w:val="1"/>
      <w:numFmt w:val="lowerLetter"/>
      <w:lvlText w:val="(%4)"/>
      <w:lvlJc w:val="left"/>
      <w:pPr>
        <w:ind w:left="2155" w:firstLine="0"/>
      </w:pPr>
      <w:rPr>
        <w:rFonts w:hint="default"/>
      </w:rPr>
    </w:lvl>
    <w:lvl w:ilvl="4">
      <w:start w:val="1"/>
      <w:numFmt w:val="none"/>
      <w:lvlText w:val=""/>
      <w:lvlJc w:val="left"/>
      <w:pPr>
        <w:ind w:left="709" w:firstLine="0"/>
      </w:pPr>
      <w:rPr>
        <w:rFonts w:hint="default"/>
      </w:rPr>
    </w:lvl>
    <w:lvl w:ilvl="5">
      <w:start w:val="1"/>
      <w:numFmt w:val="none"/>
      <w:lvlText w:val=""/>
      <w:lvlJc w:val="left"/>
      <w:pPr>
        <w:ind w:left="709" w:firstLine="0"/>
      </w:pPr>
      <w:rPr>
        <w:rFonts w:hint="default"/>
      </w:rPr>
    </w:lvl>
    <w:lvl w:ilvl="6">
      <w:start w:val="1"/>
      <w:numFmt w:val="none"/>
      <w:lvlText w:val=""/>
      <w:lvlJc w:val="left"/>
      <w:pPr>
        <w:ind w:left="709" w:firstLine="0"/>
      </w:pPr>
      <w:rPr>
        <w:rFonts w:hint="default"/>
      </w:rPr>
    </w:lvl>
    <w:lvl w:ilvl="7">
      <w:start w:val="1"/>
      <w:numFmt w:val="none"/>
      <w:lvlText w:val=""/>
      <w:lvlJc w:val="left"/>
      <w:pPr>
        <w:ind w:left="709" w:firstLine="0"/>
      </w:pPr>
      <w:rPr>
        <w:rFonts w:hint="default"/>
      </w:rPr>
    </w:lvl>
    <w:lvl w:ilvl="8">
      <w:start w:val="1"/>
      <w:numFmt w:val="none"/>
      <w:lvlText w:val=""/>
      <w:lvlJc w:val="left"/>
      <w:pPr>
        <w:ind w:left="709" w:firstLine="0"/>
      </w:pPr>
      <w:rPr>
        <w:rFonts w:hint="default"/>
      </w:rPr>
    </w:lvl>
  </w:abstractNum>
  <w:abstractNum w:abstractNumId="6" w15:restartNumberingAfterBreak="0">
    <w:nsid w:val="12255721"/>
    <w:multiLevelType w:val="hybridMultilevel"/>
    <w:tmpl w:val="F9AAA7A0"/>
    <w:lvl w:ilvl="0" w:tplc="79EE455A">
      <w:start w:val="1"/>
      <w:numFmt w:val="decimal"/>
      <w:lvlText w:val="(%1)"/>
      <w:lvlJc w:val="left"/>
      <w:pPr>
        <w:ind w:left="36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82B5674"/>
    <w:multiLevelType w:val="multilevel"/>
    <w:tmpl w:val="1C62467C"/>
    <w:lvl w:ilvl="0">
      <w:start w:val="1"/>
      <w:numFmt w:val="decimal"/>
      <w:lvlText w:val="%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454" w:hanging="341"/>
      </w:pPr>
      <w:rPr>
        <w:rFonts w:ascii="Times New Roman" w:hAnsi="Times New Roman" w:cs="Times New Roman" w:hint="default"/>
        <w:color w:val="auto"/>
        <w:sz w:val="22"/>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19EB7950"/>
    <w:multiLevelType w:val="multilevel"/>
    <w:tmpl w:val="83AE1E3A"/>
    <w:lvl w:ilvl="0">
      <w:start w:val="1"/>
      <w:numFmt w:val="decimal"/>
      <w:lvlText w:val="(%1)"/>
      <w:lvlJc w:val="left"/>
      <w:pPr>
        <w:ind w:left="473" w:hanging="360"/>
      </w:pPr>
      <w:rPr>
        <w:rFonts w:hint="default"/>
        <w:sz w:val="22"/>
      </w:rPr>
    </w:lvl>
    <w:lvl w:ilvl="1">
      <w:start w:val="1"/>
      <w:numFmt w:val="lowerLetter"/>
      <w:lvlText w:val="(%2)"/>
      <w:lvlJc w:val="left"/>
      <w:pPr>
        <w:ind w:left="680" w:hanging="34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none"/>
      <w:lvlText w:val=""/>
      <w:lvlJc w:val="left"/>
      <w:pPr>
        <w:ind w:left="113" w:firstLine="0"/>
      </w:pPr>
      <w:rPr>
        <w:rFonts w:hint="default"/>
      </w:rPr>
    </w:lvl>
    <w:lvl w:ilvl="3">
      <w:start w:val="1"/>
      <w:numFmt w:val="lowerRoman"/>
      <w:lvlText w:val="(%4)"/>
      <w:lvlJc w:val="right"/>
      <w:pPr>
        <w:ind w:left="1559" w:firstLine="0"/>
      </w:pPr>
      <w:rPr>
        <w:rFonts w:hint="default"/>
      </w:rPr>
    </w:lvl>
    <w:lvl w:ilvl="4">
      <w:start w:val="1"/>
      <w:numFmt w:val="none"/>
      <w:lvlText w:val=""/>
      <w:lvlJc w:val="left"/>
      <w:pPr>
        <w:ind w:left="113" w:firstLine="0"/>
      </w:pPr>
      <w:rPr>
        <w:rFonts w:hint="default"/>
      </w:rPr>
    </w:lvl>
    <w:lvl w:ilvl="5">
      <w:start w:val="1"/>
      <w:numFmt w:val="none"/>
      <w:lvlText w:val=""/>
      <w:lvlJc w:val="left"/>
      <w:pPr>
        <w:ind w:left="113" w:firstLine="0"/>
      </w:pPr>
      <w:rPr>
        <w:rFonts w:hint="default"/>
      </w:rPr>
    </w:lvl>
    <w:lvl w:ilvl="6">
      <w:start w:val="1"/>
      <w:numFmt w:val="none"/>
      <w:lvlText w:val=""/>
      <w:lvlJc w:val="left"/>
      <w:pPr>
        <w:ind w:left="113" w:firstLine="0"/>
      </w:pPr>
      <w:rPr>
        <w:rFonts w:hint="default"/>
      </w:rPr>
    </w:lvl>
    <w:lvl w:ilvl="7">
      <w:start w:val="1"/>
      <w:numFmt w:val="none"/>
      <w:lvlText w:val=""/>
      <w:lvlJc w:val="left"/>
      <w:pPr>
        <w:ind w:left="113" w:firstLine="0"/>
      </w:pPr>
      <w:rPr>
        <w:rFonts w:hint="default"/>
      </w:rPr>
    </w:lvl>
    <w:lvl w:ilvl="8">
      <w:start w:val="1"/>
      <w:numFmt w:val="none"/>
      <w:lvlText w:val=""/>
      <w:lvlJc w:val="left"/>
      <w:pPr>
        <w:ind w:left="113" w:firstLine="0"/>
      </w:pPr>
      <w:rPr>
        <w:rFonts w:hint="default"/>
      </w:rPr>
    </w:lvl>
  </w:abstractNum>
  <w:abstractNum w:abstractNumId="9" w15:restartNumberingAfterBreak="0">
    <w:nsid w:val="1B9F51CB"/>
    <w:multiLevelType w:val="multilevel"/>
    <w:tmpl w:val="8C40E192"/>
    <w:lvl w:ilvl="0">
      <w:start w:val="1"/>
      <w:numFmt w:val="lowerLetter"/>
      <w:lvlText w:val="(%1)"/>
      <w:lvlJc w:val="left"/>
      <w:pPr>
        <w:ind w:left="1069" w:hanging="360"/>
      </w:pPr>
      <w:rPr>
        <w:rFonts w:hint="default"/>
        <w:sz w:val="22"/>
      </w:rPr>
    </w:lvl>
    <w:lvl w:ilvl="1">
      <w:start w:val="1"/>
      <w:numFmt w:val="lowerLetter"/>
      <w:lvlText w:val="(%2)"/>
      <w:lvlJc w:val="left"/>
      <w:pPr>
        <w:ind w:left="1276" w:hanging="34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none"/>
      <w:lvlText w:val=""/>
      <w:lvlJc w:val="left"/>
      <w:pPr>
        <w:ind w:left="709" w:firstLine="0"/>
      </w:pPr>
      <w:rPr>
        <w:rFonts w:hint="default"/>
      </w:rPr>
    </w:lvl>
    <w:lvl w:ilvl="3">
      <w:start w:val="1"/>
      <w:numFmt w:val="lowerLetter"/>
      <w:lvlText w:val="(%4)"/>
      <w:lvlJc w:val="left"/>
      <w:pPr>
        <w:ind w:left="2155" w:firstLine="0"/>
      </w:pPr>
      <w:rPr>
        <w:rFonts w:hint="default"/>
      </w:rPr>
    </w:lvl>
    <w:lvl w:ilvl="4">
      <w:start w:val="1"/>
      <w:numFmt w:val="none"/>
      <w:lvlText w:val=""/>
      <w:lvlJc w:val="left"/>
      <w:pPr>
        <w:ind w:left="709" w:firstLine="0"/>
      </w:pPr>
      <w:rPr>
        <w:rFonts w:hint="default"/>
      </w:rPr>
    </w:lvl>
    <w:lvl w:ilvl="5">
      <w:start w:val="1"/>
      <w:numFmt w:val="none"/>
      <w:lvlText w:val=""/>
      <w:lvlJc w:val="left"/>
      <w:pPr>
        <w:ind w:left="709" w:firstLine="0"/>
      </w:pPr>
      <w:rPr>
        <w:rFonts w:hint="default"/>
      </w:rPr>
    </w:lvl>
    <w:lvl w:ilvl="6">
      <w:start w:val="1"/>
      <w:numFmt w:val="none"/>
      <w:lvlText w:val=""/>
      <w:lvlJc w:val="left"/>
      <w:pPr>
        <w:ind w:left="709" w:firstLine="0"/>
      </w:pPr>
      <w:rPr>
        <w:rFonts w:hint="default"/>
      </w:rPr>
    </w:lvl>
    <w:lvl w:ilvl="7">
      <w:start w:val="1"/>
      <w:numFmt w:val="none"/>
      <w:lvlText w:val=""/>
      <w:lvlJc w:val="left"/>
      <w:pPr>
        <w:ind w:left="709" w:firstLine="0"/>
      </w:pPr>
      <w:rPr>
        <w:rFonts w:hint="default"/>
      </w:rPr>
    </w:lvl>
    <w:lvl w:ilvl="8">
      <w:start w:val="1"/>
      <w:numFmt w:val="none"/>
      <w:lvlText w:val=""/>
      <w:lvlJc w:val="left"/>
      <w:pPr>
        <w:ind w:left="709" w:firstLine="0"/>
      </w:pPr>
      <w:rPr>
        <w:rFonts w:hint="default"/>
      </w:rPr>
    </w:lvl>
  </w:abstractNum>
  <w:abstractNum w:abstractNumId="10" w15:restartNumberingAfterBreak="0">
    <w:nsid w:val="1DA60ED3"/>
    <w:multiLevelType w:val="multilevel"/>
    <w:tmpl w:val="5B289D04"/>
    <w:lvl w:ilvl="0">
      <w:start w:val="1"/>
      <w:numFmt w:val="decimal"/>
      <w:lvlText w:val="(%1)"/>
      <w:lvlJc w:val="left"/>
      <w:pPr>
        <w:ind w:left="473" w:hanging="360"/>
      </w:pPr>
      <w:rPr>
        <w:rFonts w:hint="default"/>
        <w:sz w:val="22"/>
      </w:rPr>
    </w:lvl>
    <w:lvl w:ilvl="1">
      <w:start w:val="1"/>
      <w:numFmt w:val="lowerLetter"/>
      <w:lvlText w:val="(%2)"/>
      <w:lvlJc w:val="left"/>
      <w:pPr>
        <w:ind w:left="680" w:hanging="34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none"/>
      <w:lvlText w:val=""/>
      <w:lvlJc w:val="left"/>
      <w:pPr>
        <w:ind w:left="113" w:firstLine="0"/>
      </w:pPr>
      <w:rPr>
        <w:rFonts w:hint="default"/>
      </w:rPr>
    </w:lvl>
    <w:lvl w:ilvl="3">
      <w:start w:val="1"/>
      <w:numFmt w:val="lowerLetter"/>
      <w:lvlText w:val="(%4)"/>
      <w:lvlJc w:val="left"/>
      <w:pPr>
        <w:ind w:left="1559" w:firstLine="0"/>
      </w:pPr>
      <w:rPr>
        <w:rFonts w:hint="default"/>
      </w:rPr>
    </w:lvl>
    <w:lvl w:ilvl="4">
      <w:start w:val="1"/>
      <w:numFmt w:val="none"/>
      <w:lvlText w:val=""/>
      <w:lvlJc w:val="left"/>
      <w:pPr>
        <w:ind w:left="113" w:firstLine="0"/>
      </w:pPr>
      <w:rPr>
        <w:rFonts w:hint="default"/>
      </w:rPr>
    </w:lvl>
    <w:lvl w:ilvl="5">
      <w:start w:val="1"/>
      <w:numFmt w:val="none"/>
      <w:lvlText w:val=""/>
      <w:lvlJc w:val="left"/>
      <w:pPr>
        <w:ind w:left="113" w:firstLine="0"/>
      </w:pPr>
      <w:rPr>
        <w:rFonts w:hint="default"/>
      </w:rPr>
    </w:lvl>
    <w:lvl w:ilvl="6">
      <w:start w:val="1"/>
      <w:numFmt w:val="none"/>
      <w:lvlText w:val=""/>
      <w:lvlJc w:val="left"/>
      <w:pPr>
        <w:ind w:left="113" w:firstLine="0"/>
      </w:pPr>
      <w:rPr>
        <w:rFonts w:hint="default"/>
      </w:rPr>
    </w:lvl>
    <w:lvl w:ilvl="7">
      <w:start w:val="1"/>
      <w:numFmt w:val="none"/>
      <w:lvlText w:val=""/>
      <w:lvlJc w:val="left"/>
      <w:pPr>
        <w:ind w:left="113" w:firstLine="0"/>
      </w:pPr>
      <w:rPr>
        <w:rFonts w:hint="default"/>
      </w:rPr>
    </w:lvl>
    <w:lvl w:ilvl="8">
      <w:start w:val="1"/>
      <w:numFmt w:val="none"/>
      <w:lvlText w:val=""/>
      <w:lvlJc w:val="left"/>
      <w:pPr>
        <w:ind w:left="113" w:firstLine="0"/>
      </w:pPr>
      <w:rPr>
        <w:rFonts w:hint="default"/>
      </w:rPr>
    </w:lvl>
  </w:abstractNum>
  <w:abstractNum w:abstractNumId="11" w15:restartNumberingAfterBreak="0">
    <w:nsid w:val="1E153AC9"/>
    <w:multiLevelType w:val="multilevel"/>
    <w:tmpl w:val="CED8D8F6"/>
    <w:lvl w:ilvl="0">
      <w:start w:val="1"/>
      <w:numFmt w:val="decimal"/>
      <w:lvlText w:val="%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454" w:hanging="341"/>
      </w:pPr>
      <w:rPr>
        <w:rFonts w:ascii="Times New Roman" w:hAnsi="Times New Roman" w:cs="Times New Roman" w:hint="default"/>
        <w:color w:val="auto"/>
        <w:sz w:val="22"/>
      </w:rPr>
    </w:lvl>
    <w:lvl w:ilvl="2">
      <w:start w:val="1"/>
      <w:numFmt w:val="none"/>
      <w:lvlText w:val=""/>
      <w:lvlJc w:val="left"/>
      <w:pPr>
        <w:ind w:left="0" w:firstLine="0"/>
      </w:pPr>
      <w:rPr>
        <w:rFonts w:hint="default"/>
      </w:rPr>
    </w:lvl>
    <w:lvl w:ilvl="3">
      <w:start w:val="1"/>
      <w:numFmt w:val="lowerLetter"/>
      <w:lvlText w:val="(%4)"/>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15:restartNumberingAfterBreak="0">
    <w:nsid w:val="1E8D3FD6"/>
    <w:multiLevelType w:val="multilevel"/>
    <w:tmpl w:val="CED8D8F6"/>
    <w:lvl w:ilvl="0">
      <w:start w:val="1"/>
      <w:numFmt w:val="decimal"/>
      <w:lvlText w:val="%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454" w:hanging="341"/>
      </w:pPr>
      <w:rPr>
        <w:rFonts w:ascii="Times New Roman" w:hAnsi="Times New Roman" w:cs="Times New Roman" w:hint="default"/>
        <w:color w:val="auto"/>
        <w:sz w:val="22"/>
      </w:rPr>
    </w:lvl>
    <w:lvl w:ilvl="2">
      <w:start w:val="1"/>
      <w:numFmt w:val="none"/>
      <w:lvlText w:val=""/>
      <w:lvlJc w:val="left"/>
      <w:pPr>
        <w:ind w:left="0" w:firstLine="0"/>
      </w:pPr>
      <w:rPr>
        <w:rFonts w:hint="default"/>
      </w:rPr>
    </w:lvl>
    <w:lvl w:ilvl="3">
      <w:start w:val="1"/>
      <w:numFmt w:val="lowerLetter"/>
      <w:lvlText w:val="(%4)"/>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3" w15:restartNumberingAfterBreak="0">
    <w:nsid w:val="22E44180"/>
    <w:multiLevelType w:val="multilevel"/>
    <w:tmpl w:val="DD42D93E"/>
    <w:lvl w:ilvl="0">
      <w:start w:val="1"/>
      <w:numFmt w:val="decimal"/>
      <w:lvlRestart w:val="0"/>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67B66E9"/>
    <w:multiLevelType w:val="multilevel"/>
    <w:tmpl w:val="169CC5E8"/>
    <w:styleLink w:val="XXXtextbullets"/>
    <w:lvl w:ilvl="0">
      <w:start w:val="1"/>
      <w:numFmt w:val="bullet"/>
      <w:pStyle w:val="textbullets"/>
      <w:lvlText w:val="‒"/>
      <w:lvlJc w:val="left"/>
      <w:pPr>
        <w:ind w:left="397" w:hanging="397"/>
      </w:pPr>
      <w:rPr>
        <w:rFonts w:ascii="Calibri" w:hAnsi="Calibri" w:hint="default"/>
        <w:color w:val="auto"/>
      </w:rPr>
    </w:lvl>
    <w:lvl w:ilvl="1">
      <w:start w:val="1"/>
      <w:numFmt w:val="bullet"/>
      <w:lvlText w:val="‒"/>
      <w:lvlJc w:val="left"/>
      <w:pPr>
        <w:ind w:left="794" w:hanging="397"/>
      </w:pPr>
      <w:rPr>
        <w:rFonts w:ascii="Calibri" w:hAnsi="Calibri" w:hint="default"/>
        <w:color w:val="auto"/>
      </w:rPr>
    </w:lvl>
    <w:lvl w:ilvl="2">
      <w:start w:val="1"/>
      <w:numFmt w:val="bullet"/>
      <w:lvlText w:val="‒"/>
      <w:lvlJc w:val="left"/>
      <w:pPr>
        <w:ind w:left="1191" w:hanging="397"/>
      </w:pPr>
      <w:rPr>
        <w:rFonts w:ascii="Calibri" w:hAnsi="Calibri" w:hint="default"/>
        <w:color w:val="auto"/>
      </w:rPr>
    </w:lvl>
    <w:lvl w:ilvl="3">
      <w:start w:val="1"/>
      <w:numFmt w:val="bullet"/>
      <w:lvlText w:val="‒"/>
      <w:lvlJc w:val="left"/>
      <w:pPr>
        <w:ind w:left="1588" w:hanging="397"/>
      </w:pPr>
      <w:rPr>
        <w:rFonts w:ascii="Calibri" w:hAnsi="Calibri" w:hint="default"/>
        <w:color w:val="auto"/>
      </w:rPr>
    </w:lvl>
    <w:lvl w:ilvl="4">
      <w:start w:val="1"/>
      <w:numFmt w:val="bullet"/>
      <w:lvlText w:val="‒"/>
      <w:lvlJc w:val="left"/>
      <w:pPr>
        <w:ind w:left="1985" w:hanging="397"/>
      </w:pPr>
      <w:rPr>
        <w:rFonts w:ascii="Calibri" w:hAnsi="Calibri" w:hint="default"/>
        <w:color w:val="auto"/>
      </w:rPr>
    </w:lvl>
    <w:lvl w:ilvl="5">
      <w:start w:val="1"/>
      <w:numFmt w:val="bullet"/>
      <w:lvlText w:val="‒"/>
      <w:lvlJc w:val="left"/>
      <w:pPr>
        <w:ind w:left="2325" w:hanging="340"/>
      </w:pPr>
      <w:rPr>
        <w:rFonts w:ascii="Calibri" w:hAnsi="Calibri" w:hint="default"/>
        <w:color w:val="auto"/>
      </w:rPr>
    </w:lvl>
    <w:lvl w:ilvl="6">
      <w:start w:val="1"/>
      <w:numFmt w:val="bullet"/>
      <w:lvlText w:val="‒"/>
      <w:lvlJc w:val="left"/>
      <w:pPr>
        <w:ind w:left="2722" w:hanging="397"/>
      </w:pPr>
      <w:rPr>
        <w:rFonts w:ascii="Calibri" w:hAnsi="Calibri" w:hint="default"/>
        <w:color w:val="auto"/>
      </w:rPr>
    </w:lvl>
    <w:lvl w:ilvl="7">
      <w:start w:val="1"/>
      <w:numFmt w:val="bullet"/>
      <w:lvlText w:val="‒"/>
      <w:lvlJc w:val="left"/>
      <w:pPr>
        <w:ind w:left="3119" w:hanging="397"/>
      </w:pPr>
      <w:rPr>
        <w:rFonts w:ascii="Calibri" w:hAnsi="Calibri" w:hint="default"/>
        <w:color w:val="auto"/>
      </w:rPr>
    </w:lvl>
    <w:lvl w:ilvl="8">
      <w:start w:val="1"/>
      <w:numFmt w:val="bullet"/>
      <w:lvlText w:val="‒"/>
      <w:lvlJc w:val="left"/>
      <w:pPr>
        <w:ind w:left="3459" w:hanging="340"/>
      </w:pPr>
      <w:rPr>
        <w:rFonts w:ascii="Calibri" w:hAnsi="Calibri" w:hint="default"/>
        <w:color w:val="auto"/>
      </w:rPr>
    </w:lvl>
  </w:abstractNum>
  <w:abstractNum w:abstractNumId="15" w15:restartNumberingAfterBreak="0">
    <w:nsid w:val="27300AC3"/>
    <w:multiLevelType w:val="hybridMultilevel"/>
    <w:tmpl w:val="5C768D62"/>
    <w:lvl w:ilvl="0" w:tplc="2CA2B898">
      <w:start w:val="1"/>
      <w:numFmt w:val="decimal"/>
      <w:lvlText w:val="(%1)"/>
      <w:lvlJc w:val="left"/>
      <w:pPr>
        <w:ind w:left="360" w:hanging="360"/>
      </w:pPr>
      <w:rPr>
        <w:rFonts w:hint="default"/>
      </w:rPr>
    </w:lvl>
    <w:lvl w:ilvl="1" w:tplc="04090019">
      <w:start w:val="1"/>
      <w:numFmt w:val="lowerLetter"/>
      <w:lvlText w:val="%2."/>
      <w:lvlJc w:val="left"/>
      <w:pPr>
        <w:ind w:left="732" w:hanging="360"/>
      </w:pPr>
    </w:lvl>
    <w:lvl w:ilvl="2" w:tplc="0409001B">
      <w:start w:val="1"/>
      <w:numFmt w:val="lowerRoman"/>
      <w:lvlText w:val="%3."/>
      <w:lvlJc w:val="right"/>
      <w:pPr>
        <w:ind w:left="1452" w:hanging="180"/>
      </w:pPr>
    </w:lvl>
    <w:lvl w:ilvl="3" w:tplc="0409000F">
      <w:start w:val="1"/>
      <w:numFmt w:val="decimal"/>
      <w:lvlText w:val="%4."/>
      <w:lvlJc w:val="left"/>
      <w:pPr>
        <w:ind w:left="2172" w:hanging="360"/>
      </w:pPr>
    </w:lvl>
    <w:lvl w:ilvl="4" w:tplc="04090019" w:tentative="1">
      <w:start w:val="1"/>
      <w:numFmt w:val="lowerLetter"/>
      <w:lvlText w:val="%5."/>
      <w:lvlJc w:val="left"/>
      <w:pPr>
        <w:ind w:left="2892" w:hanging="360"/>
      </w:pPr>
    </w:lvl>
    <w:lvl w:ilvl="5" w:tplc="0409001B" w:tentative="1">
      <w:start w:val="1"/>
      <w:numFmt w:val="lowerRoman"/>
      <w:lvlText w:val="%6."/>
      <w:lvlJc w:val="right"/>
      <w:pPr>
        <w:ind w:left="3612" w:hanging="180"/>
      </w:pPr>
    </w:lvl>
    <w:lvl w:ilvl="6" w:tplc="0409000F" w:tentative="1">
      <w:start w:val="1"/>
      <w:numFmt w:val="decimal"/>
      <w:lvlText w:val="%7."/>
      <w:lvlJc w:val="left"/>
      <w:pPr>
        <w:ind w:left="4332" w:hanging="360"/>
      </w:pPr>
    </w:lvl>
    <w:lvl w:ilvl="7" w:tplc="04090019" w:tentative="1">
      <w:start w:val="1"/>
      <w:numFmt w:val="lowerLetter"/>
      <w:lvlText w:val="%8."/>
      <w:lvlJc w:val="left"/>
      <w:pPr>
        <w:ind w:left="5052" w:hanging="360"/>
      </w:pPr>
    </w:lvl>
    <w:lvl w:ilvl="8" w:tplc="0409001B" w:tentative="1">
      <w:start w:val="1"/>
      <w:numFmt w:val="lowerRoman"/>
      <w:lvlText w:val="%9."/>
      <w:lvlJc w:val="right"/>
      <w:pPr>
        <w:ind w:left="5772" w:hanging="180"/>
      </w:pPr>
    </w:lvl>
  </w:abstractNum>
  <w:abstractNum w:abstractNumId="16" w15:restartNumberingAfterBreak="0">
    <w:nsid w:val="28642D56"/>
    <w:multiLevelType w:val="multilevel"/>
    <w:tmpl w:val="5B289D04"/>
    <w:lvl w:ilvl="0">
      <w:start w:val="1"/>
      <w:numFmt w:val="decimal"/>
      <w:lvlText w:val="(%1)"/>
      <w:lvlJc w:val="left"/>
      <w:pPr>
        <w:ind w:left="473" w:hanging="360"/>
      </w:pPr>
      <w:rPr>
        <w:rFonts w:hint="default"/>
        <w:sz w:val="22"/>
      </w:rPr>
    </w:lvl>
    <w:lvl w:ilvl="1">
      <w:start w:val="1"/>
      <w:numFmt w:val="lowerLetter"/>
      <w:lvlText w:val="(%2)"/>
      <w:lvlJc w:val="left"/>
      <w:pPr>
        <w:ind w:left="680" w:hanging="34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none"/>
      <w:lvlText w:val=""/>
      <w:lvlJc w:val="left"/>
      <w:pPr>
        <w:ind w:left="113" w:firstLine="0"/>
      </w:pPr>
      <w:rPr>
        <w:rFonts w:hint="default"/>
      </w:rPr>
    </w:lvl>
    <w:lvl w:ilvl="3">
      <w:start w:val="1"/>
      <w:numFmt w:val="lowerLetter"/>
      <w:lvlText w:val="(%4)"/>
      <w:lvlJc w:val="left"/>
      <w:pPr>
        <w:ind w:left="1559" w:firstLine="0"/>
      </w:pPr>
      <w:rPr>
        <w:rFonts w:hint="default"/>
      </w:rPr>
    </w:lvl>
    <w:lvl w:ilvl="4">
      <w:start w:val="1"/>
      <w:numFmt w:val="none"/>
      <w:lvlText w:val=""/>
      <w:lvlJc w:val="left"/>
      <w:pPr>
        <w:ind w:left="113" w:firstLine="0"/>
      </w:pPr>
      <w:rPr>
        <w:rFonts w:hint="default"/>
      </w:rPr>
    </w:lvl>
    <w:lvl w:ilvl="5">
      <w:start w:val="1"/>
      <w:numFmt w:val="none"/>
      <w:lvlText w:val=""/>
      <w:lvlJc w:val="left"/>
      <w:pPr>
        <w:ind w:left="113" w:firstLine="0"/>
      </w:pPr>
      <w:rPr>
        <w:rFonts w:hint="default"/>
      </w:rPr>
    </w:lvl>
    <w:lvl w:ilvl="6">
      <w:start w:val="1"/>
      <w:numFmt w:val="none"/>
      <w:lvlText w:val=""/>
      <w:lvlJc w:val="left"/>
      <w:pPr>
        <w:ind w:left="113" w:firstLine="0"/>
      </w:pPr>
      <w:rPr>
        <w:rFonts w:hint="default"/>
      </w:rPr>
    </w:lvl>
    <w:lvl w:ilvl="7">
      <w:start w:val="1"/>
      <w:numFmt w:val="none"/>
      <w:lvlText w:val=""/>
      <w:lvlJc w:val="left"/>
      <w:pPr>
        <w:ind w:left="113" w:firstLine="0"/>
      </w:pPr>
      <w:rPr>
        <w:rFonts w:hint="default"/>
      </w:rPr>
    </w:lvl>
    <w:lvl w:ilvl="8">
      <w:start w:val="1"/>
      <w:numFmt w:val="none"/>
      <w:lvlText w:val=""/>
      <w:lvlJc w:val="left"/>
      <w:pPr>
        <w:ind w:left="113" w:firstLine="0"/>
      </w:pPr>
      <w:rPr>
        <w:rFonts w:hint="default"/>
      </w:rPr>
    </w:lvl>
  </w:abstractNum>
  <w:abstractNum w:abstractNumId="17" w15:restartNumberingAfterBreak="0">
    <w:nsid w:val="2F3E1A9F"/>
    <w:multiLevelType w:val="hybridMultilevel"/>
    <w:tmpl w:val="6C5A1D34"/>
    <w:lvl w:ilvl="0" w:tplc="098824A4">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2FB322B5"/>
    <w:multiLevelType w:val="multilevel"/>
    <w:tmpl w:val="8C40E192"/>
    <w:lvl w:ilvl="0">
      <w:start w:val="1"/>
      <w:numFmt w:val="lowerLetter"/>
      <w:lvlText w:val="(%1)"/>
      <w:lvlJc w:val="left"/>
      <w:pPr>
        <w:ind w:left="1069" w:hanging="360"/>
      </w:pPr>
      <w:rPr>
        <w:rFonts w:hint="default"/>
        <w:sz w:val="22"/>
      </w:rPr>
    </w:lvl>
    <w:lvl w:ilvl="1">
      <w:start w:val="1"/>
      <w:numFmt w:val="lowerLetter"/>
      <w:lvlText w:val="(%2)"/>
      <w:lvlJc w:val="left"/>
      <w:pPr>
        <w:ind w:left="1276" w:hanging="34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none"/>
      <w:lvlText w:val=""/>
      <w:lvlJc w:val="left"/>
      <w:pPr>
        <w:ind w:left="709" w:firstLine="0"/>
      </w:pPr>
      <w:rPr>
        <w:rFonts w:hint="default"/>
      </w:rPr>
    </w:lvl>
    <w:lvl w:ilvl="3">
      <w:start w:val="1"/>
      <w:numFmt w:val="lowerLetter"/>
      <w:lvlText w:val="(%4)"/>
      <w:lvlJc w:val="left"/>
      <w:pPr>
        <w:ind w:left="2155" w:firstLine="0"/>
      </w:pPr>
      <w:rPr>
        <w:rFonts w:hint="default"/>
      </w:rPr>
    </w:lvl>
    <w:lvl w:ilvl="4">
      <w:start w:val="1"/>
      <w:numFmt w:val="none"/>
      <w:lvlText w:val=""/>
      <w:lvlJc w:val="left"/>
      <w:pPr>
        <w:ind w:left="709" w:firstLine="0"/>
      </w:pPr>
      <w:rPr>
        <w:rFonts w:hint="default"/>
      </w:rPr>
    </w:lvl>
    <w:lvl w:ilvl="5">
      <w:start w:val="1"/>
      <w:numFmt w:val="none"/>
      <w:lvlText w:val=""/>
      <w:lvlJc w:val="left"/>
      <w:pPr>
        <w:ind w:left="709" w:firstLine="0"/>
      </w:pPr>
      <w:rPr>
        <w:rFonts w:hint="default"/>
      </w:rPr>
    </w:lvl>
    <w:lvl w:ilvl="6">
      <w:start w:val="1"/>
      <w:numFmt w:val="none"/>
      <w:lvlText w:val=""/>
      <w:lvlJc w:val="left"/>
      <w:pPr>
        <w:ind w:left="709" w:firstLine="0"/>
      </w:pPr>
      <w:rPr>
        <w:rFonts w:hint="default"/>
      </w:rPr>
    </w:lvl>
    <w:lvl w:ilvl="7">
      <w:start w:val="1"/>
      <w:numFmt w:val="none"/>
      <w:lvlText w:val=""/>
      <w:lvlJc w:val="left"/>
      <w:pPr>
        <w:ind w:left="709" w:firstLine="0"/>
      </w:pPr>
      <w:rPr>
        <w:rFonts w:hint="default"/>
      </w:rPr>
    </w:lvl>
    <w:lvl w:ilvl="8">
      <w:start w:val="1"/>
      <w:numFmt w:val="none"/>
      <w:lvlText w:val=""/>
      <w:lvlJc w:val="left"/>
      <w:pPr>
        <w:ind w:left="709" w:firstLine="0"/>
      </w:pPr>
      <w:rPr>
        <w:rFonts w:hint="default"/>
      </w:rPr>
    </w:lvl>
  </w:abstractNum>
  <w:abstractNum w:abstractNumId="19" w15:restartNumberingAfterBreak="0">
    <w:nsid w:val="30BA1F26"/>
    <w:multiLevelType w:val="multilevel"/>
    <w:tmpl w:val="8C40E192"/>
    <w:lvl w:ilvl="0">
      <w:start w:val="1"/>
      <w:numFmt w:val="lowerLetter"/>
      <w:lvlText w:val="(%1)"/>
      <w:lvlJc w:val="left"/>
      <w:pPr>
        <w:ind w:left="1069" w:hanging="360"/>
      </w:pPr>
      <w:rPr>
        <w:rFonts w:hint="default"/>
        <w:sz w:val="22"/>
      </w:rPr>
    </w:lvl>
    <w:lvl w:ilvl="1">
      <w:start w:val="1"/>
      <w:numFmt w:val="lowerLetter"/>
      <w:lvlText w:val="(%2)"/>
      <w:lvlJc w:val="left"/>
      <w:pPr>
        <w:ind w:left="1276" w:hanging="34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none"/>
      <w:lvlText w:val=""/>
      <w:lvlJc w:val="left"/>
      <w:pPr>
        <w:ind w:left="709" w:firstLine="0"/>
      </w:pPr>
      <w:rPr>
        <w:rFonts w:hint="default"/>
      </w:rPr>
    </w:lvl>
    <w:lvl w:ilvl="3">
      <w:start w:val="1"/>
      <w:numFmt w:val="lowerLetter"/>
      <w:lvlText w:val="(%4)"/>
      <w:lvlJc w:val="left"/>
      <w:pPr>
        <w:ind w:left="2155" w:firstLine="0"/>
      </w:pPr>
      <w:rPr>
        <w:rFonts w:hint="default"/>
      </w:rPr>
    </w:lvl>
    <w:lvl w:ilvl="4">
      <w:start w:val="1"/>
      <w:numFmt w:val="none"/>
      <w:lvlText w:val=""/>
      <w:lvlJc w:val="left"/>
      <w:pPr>
        <w:ind w:left="709" w:firstLine="0"/>
      </w:pPr>
      <w:rPr>
        <w:rFonts w:hint="default"/>
      </w:rPr>
    </w:lvl>
    <w:lvl w:ilvl="5">
      <w:start w:val="1"/>
      <w:numFmt w:val="none"/>
      <w:lvlText w:val=""/>
      <w:lvlJc w:val="left"/>
      <w:pPr>
        <w:ind w:left="709" w:firstLine="0"/>
      </w:pPr>
      <w:rPr>
        <w:rFonts w:hint="default"/>
      </w:rPr>
    </w:lvl>
    <w:lvl w:ilvl="6">
      <w:start w:val="1"/>
      <w:numFmt w:val="none"/>
      <w:lvlText w:val=""/>
      <w:lvlJc w:val="left"/>
      <w:pPr>
        <w:ind w:left="709" w:firstLine="0"/>
      </w:pPr>
      <w:rPr>
        <w:rFonts w:hint="default"/>
      </w:rPr>
    </w:lvl>
    <w:lvl w:ilvl="7">
      <w:start w:val="1"/>
      <w:numFmt w:val="none"/>
      <w:lvlText w:val=""/>
      <w:lvlJc w:val="left"/>
      <w:pPr>
        <w:ind w:left="709" w:firstLine="0"/>
      </w:pPr>
      <w:rPr>
        <w:rFonts w:hint="default"/>
      </w:rPr>
    </w:lvl>
    <w:lvl w:ilvl="8">
      <w:start w:val="1"/>
      <w:numFmt w:val="none"/>
      <w:lvlText w:val=""/>
      <w:lvlJc w:val="left"/>
      <w:pPr>
        <w:ind w:left="709" w:firstLine="0"/>
      </w:pPr>
      <w:rPr>
        <w:rFonts w:hint="default"/>
      </w:rPr>
    </w:lvl>
  </w:abstractNum>
  <w:abstractNum w:abstractNumId="20" w15:restartNumberingAfterBreak="0">
    <w:nsid w:val="34D75B0A"/>
    <w:multiLevelType w:val="multilevel"/>
    <w:tmpl w:val="398E8EB2"/>
    <w:lvl w:ilvl="0">
      <w:start w:val="1"/>
      <w:numFmt w:val="lowerLetter"/>
      <w:pStyle w:val="Paragraph"/>
      <w:lvlText w:val="(%1)"/>
      <w:lvlJc w:val="left"/>
      <w:pPr>
        <w:ind w:left="1276" w:hanging="360"/>
      </w:pPr>
      <w:rPr>
        <w:rFonts w:hint="default"/>
        <w:b w:val="0"/>
        <w:sz w:val="22"/>
      </w:rPr>
    </w:lvl>
    <w:lvl w:ilvl="1">
      <w:start w:val="1"/>
      <w:numFmt w:val="lowerLetter"/>
      <w:lvlText w:val="(%2)"/>
      <w:lvlJc w:val="left"/>
      <w:pPr>
        <w:ind w:left="1483" w:hanging="34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none"/>
      <w:lvlText w:val=""/>
      <w:lvlJc w:val="left"/>
      <w:pPr>
        <w:ind w:left="916" w:firstLine="0"/>
      </w:pPr>
      <w:rPr>
        <w:rFonts w:hint="default"/>
      </w:rPr>
    </w:lvl>
    <w:lvl w:ilvl="3">
      <w:start w:val="1"/>
      <w:numFmt w:val="lowerLetter"/>
      <w:lvlText w:val="(%4)"/>
      <w:lvlJc w:val="left"/>
      <w:pPr>
        <w:ind w:left="916" w:firstLine="0"/>
      </w:pPr>
      <w:rPr>
        <w:rFonts w:hint="default"/>
      </w:rPr>
    </w:lvl>
    <w:lvl w:ilvl="4">
      <w:start w:val="1"/>
      <w:numFmt w:val="none"/>
      <w:lvlText w:val=""/>
      <w:lvlJc w:val="left"/>
      <w:pPr>
        <w:ind w:left="916" w:firstLine="0"/>
      </w:pPr>
      <w:rPr>
        <w:rFonts w:hint="default"/>
      </w:rPr>
    </w:lvl>
    <w:lvl w:ilvl="5">
      <w:start w:val="1"/>
      <w:numFmt w:val="none"/>
      <w:lvlText w:val=""/>
      <w:lvlJc w:val="left"/>
      <w:pPr>
        <w:ind w:left="916" w:firstLine="0"/>
      </w:pPr>
      <w:rPr>
        <w:rFonts w:hint="default"/>
      </w:rPr>
    </w:lvl>
    <w:lvl w:ilvl="6">
      <w:start w:val="1"/>
      <w:numFmt w:val="none"/>
      <w:lvlText w:val=""/>
      <w:lvlJc w:val="left"/>
      <w:pPr>
        <w:ind w:left="916" w:firstLine="0"/>
      </w:pPr>
      <w:rPr>
        <w:rFonts w:hint="default"/>
      </w:rPr>
    </w:lvl>
    <w:lvl w:ilvl="7">
      <w:start w:val="1"/>
      <w:numFmt w:val="none"/>
      <w:lvlText w:val=""/>
      <w:lvlJc w:val="left"/>
      <w:pPr>
        <w:ind w:left="916" w:firstLine="0"/>
      </w:pPr>
      <w:rPr>
        <w:rFonts w:hint="default"/>
      </w:rPr>
    </w:lvl>
    <w:lvl w:ilvl="8">
      <w:start w:val="1"/>
      <w:numFmt w:val="none"/>
      <w:lvlText w:val=""/>
      <w:lvlJc w:val="left"/>
      <w:pPr>
        <w:ind w:left="916" w:firstLine="0"/>
      </w:pPr>
      <w:rPr>
        <w:rFonts w:hint="default"/>
      </w:rPr>
    </w:lvl>
  </w:abstractNum>
  <w:abstractNum w:abstractNumId="21" w15:restartNumberingAfterBreak="0">
    <w:nsid w:val="36C969C4"/>
    <w:multiLevelType w:val="multilevel"/>
    <w:tmpl w:val="2596397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98607F9"/>
    <w:multiLevelType w:val="multilevel"/>
    <w:tmpl w:val="7CFC2B44"/>
    <w:lvl w:ilvl="0">
      <w:start w:val="1"/>
      <w:numFmt w:val="decimal"/>
      <w:lvlText w:val="%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454" w:hanging="341"/>
      </w:pPr>
      <w:rPr>
        <w:rFonts w:ascii="Times New Roman" w:hAnsi="Times New Roman" w:cs="Times New Roman" w:hint="default"/>
        <w:color w:val="auto"/>
        <w:sz w:val="22"/>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3" w15:restartNumberingAfterBreak="0">
    <w:nsid w:val="399B3CD0"/>
    <w:multiLevelType w:val="hybridMultilevel"/>
    <w:tmpl w:val="71F2CE78"/>
    <w:lvl w:ilvl="0" w:tplc="B62ADFD4">
      <w:start w:val="1"/>
      <w:numFmt w:val="upperRoman"/>
      <w:pStyle w:val="Partname"/>
      <w:lvlText w:val="PART %1"/>
      <w:lvlJc w:val="center"/>
      <w:pPr>
        <w:ind w:left="720" w:hanging="360"/>
      </w:pPr>
      <w:rPr>
        <w:rFonts w:ascii="Times New Roman" w:hAnsi="Times New Roman" w:cs="Times New Roman" w:hint="default"/>
        <w:b/>
        <w:bCs w:val="0"/>
        <w:i w:val="0"/>
        <w:iCs w:val="0"/>
        <w:caps/>
        <w:strike w:val="0"/>
        <w:dstrike w:val="0"/>
        <w:vanish w:val="0"/>
        <w:color w:val="000000"/>
        <w:spacing w:val="0"/>
        <w:kern w:val="0"/>
        <w:position w:val="0"/>
        <w:sz w:val="24"/>
        <w:u w:val="none"/>
        <w:effect w:val="none"/>
        <w:vertAlign w:val="baseline"/>
        <w:em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9E12DB3"/>
    <w:multiLevelType w:val="multilevel"/>
    <w:tmpl w:val="91EC85CA"/>
    <w:lvl w:ilvl="0">
      <w:start w:val="1"/>
      <w:numFmt w:val="decimal"/>
      <w:lvlText w:val="%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454" w:hanging="341"/>
      </w:pPr>
      <w:rPr>
        <w:rFonts w:ascii="Times New Roman" w:hAnsi="Times New Roman" w:cs="Times New Roman" w:hint="default"/>
        <w:color w:val="auto"/>
        <w:sz w:val="22"/>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5" w15:restartNumberingAfterBreak="0">
    <w:nsid w:val="3BC82BC5"/>
    <w:multiLevelType w:val="hybridMultilevel"/>
    <w:tmpl w:val="FB54509E"/>
    <w:lvl w:ilvl="0" w:tplc="098824A4">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C1407ED"/>
    <w:multiLevelType w:val="multilevel"/>
    <w:tmpl w:val="91EC85CA"/>
    <w:lvl w:ilvl="0">
      <w:start w:val="1"/>
      <w:numFmt w:val="decimal"/>
      <w:lvlText w:val="%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454" w:hanging="341"/>
      </w:pPr>
      <w:rPr>
        <w:rFonts w:ascii="Times New Roman" w:hAnsi="Times New Roman" w:cs="Times New Roman" w:hint="default"/>
        <w:color w:val="auto"/>
        <w:sz w:val="22"/>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7" w15:restartNumberingAfterBreak="0">
    <w:nsid w:val="3D065280"/>
    <w:multiLevelType w:val="hybridMultilevel"/>
    <w:tmpl w:val="6CDCC0EC"/>
    <w:lvl w:ilvl="0" w:tplc="2CA2B898">
      <w:start w:val="1"/>
      <w:numFmt w:val="decimal"/>
      <w:lvlText w:val="(%1)"/>
      <w:lvlJc w:val="left"/>
      <w:pPr>
        <w:ind w:left="360" w:hanging="360"/>
      </w:pPr>
      <w:rPr>
        <w:rFonts w:hint="default"/>
      </w:rPr>
    </w:lvl>
    <w:lvl w:ilvl="1" w:tplc="926E1C40">
      <w:start w:val="1"/>
      <w:numFmt w:val="lowerLetter"/>
      <w:lvlText w:val="(%2)"/>
      <w:lvlJc w:val="left"/>
      <w:pPr>
        <w:ind w:left="732" w:hanging="360"/>
      </w:pPr>
      <w:rPr>
        <w:rFonts w:hint="default"/>
        <w:b w:val="0"/>
      </w:rPr>
    </w:lvl>
    <w:lvl w:ilvl="2" w:tplc="0409001B">
      <w:start w:val="1"/>
      <w:numFmt w:val="lowerRoman"/>
      <w:lvlText w:val="%3."/>
      <w:lvlJc w:val="right"/>
      <w:pPr>
        <w:ind w:left="1452" w:hanging="180"/>
      </w:pPr>
    </w:lvl>
    <w:lvl w:ilvl="3" w:tplc="0409000F" w:tentative="1">
      <w:start w:val="1"/>
      <w:numFmt w:val="decimal"/>
      <w:lvlText w:val="%4."/>
      <w:lvlJc w:val="left"/>
      <w:pPr>
        <w:ind w:left="2172" w:hanging="360"/>
      </w:pPr>
    </w:lvl>
    <w:lvl w:ilvl="4" w:tplc="04090019" w:tentative="1">
      <w:start w:val="1"/>
      <w:numFmt w:val="lowerLetter"/>
      <w:lvlText w:val="%5."/>
      <w:lvlJc w:val="left"/>
      <w:pPr>
        <w:ind w:left="2892" w:hanging="360"/>
      </w:pPr>
    </w:lvl>
    <w:lvl w:ilvl="5" w:tplc="0409001B" w:tentative="1">
      <w:start w:val="1"/>
      <w:numFmt w:val="lowerRoman"/>
      <w:lvlText w:val="%6."/>
      <w:lvlJc w:val="right"/>
      <w:pPr>
        <w:ind w:left="3612" w:hanging="180"/>
      </w:pPr>
    </w:lvl>
    <w:lvl w:ilvl="6" w:tplc="0409000F" w:tentative="1">
      <w:start w:val="1"/>
      <w:numFmt w:val="decimal"/>
      <w:lvlText w:val="%7."/>
      <w:lvlJc w:val="left"/>
      <w:pPr>
        <w:ind w:left="4332" w:hanging="360"/>
      </w:pPr>
    </w:lvl>
    <w:lvl w:ilvl="7" w:tplc="04090019" w:tentative="1">
      <w:start w:val="1"/>
      <w:numFmt w:val="lowerLetter"/>
      <w:lvlText w:val="%8."/>
      <w:lvlJc w:val="left"/>
      <w:pPr>
        <w:ind w:left="5052" w:hanging="360"/>
      </w:pPr>
    </w:lvl>
    <w:lvl w:ilvl="8" w:tplc="0409001B" w:tentative="1">
      <w:start w:val="1"/>
      <w:numFmt w:val="lowerRoman"/>
      <w:lvlText w:val="%9."/>
      <w:lvlJc w:val="right"/>
      <w:pPr>
        <w:ind w:left="5772" w:hanging="180"/>
      </w:pPr>
    </w:lvl>
  </w:abstractNum>
  <w:abstractNum w:abstractNumId="28" w15:restartNumberingAfterBreak="0">
    <w:nsid w:val="3D7166A5"/>
    <w:multiLevelType w:val="multilevel"/>
    <w:tmpl w:val="91EC85CA"/>
    <w:lvl w:ilvl="0">
      <w:start w:val="1"/>
      <w:numFmt w:val="decimal"/>
      <w:lvlText w:val="%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454" w:hanging="341"/>
      </w:pPr>
      <w:rPr>
        <w:rFonts w:ascii="Times New Roman" w:hAnsi="Times New Roman" w:cs="Times New Roman" w:hint="default"/>
        <w:color w:val="auto"/>
        <w:sz w:val="22"/>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9" w15:restartNumberingAfterBreak="0">
    <w:nsid w:val="3E904875"/>
    <w:multiLevelType w:val="multilevel"/>
    <w:tmpl w:val="1C62467C"/>
    <w:lvl w:ilvl="0">
      <w:start w:val="1"/>
      <w:numFmt w:val="decimal"/>
      <w:lvlText w:val="%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454" w:hanging="341"/>
      </w:pPr>
      <w:rPr>
        <w:rFonts w:ascii="Times New Roman" w:hAnsi="Times New Roman" w:cs="Times New Roman" w:hint="default"/>
        <w:color w:val="auto"/>
        <w:sz w:val="22"/>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0" w15:restartNumberingAfterBreak="0">
    <w:nsid w:val="40302541"/>
    <w:multiLevelType w:val="multilevel"/>
    <w:tmpl w:val="5B289D04"/>
    <w:lvl w:ilvl="0">
      <w:start w:val="1"/>
      <w:numFmt w:val="decimal"/>
      <w:lvlText w:val="(%1)"/>
      <w:lvlJc w:val="left"/>
      <w:pPr>
        <w:ind w:left="473" w:hanging="360"/>
      </w:pPr>
      <w:rPr>
        <w:rFonts w:hint="default"/>
        <w:sz w:val="22"/>
      </w:rPr>
    </w:lvl>
    <w:lvl w:ilvl="1">
      <w:start w:val="1"/>
      <w:numFmt w:val="lowerLetter"/>
      <w:lvlText w:val="(%2)"/>
      <w:lvlJc w:val="left"/>
      <w:pPr>
        <w:ind w:left="680" w:hanging="34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none"/>
      <w:lvlText w:val=""/>
      <w:lvlJc w:val="left"/>
      <w:pPr>
        <w:ind w:left="113" w:firstLine="0"/>
      </w:pPr>
      <w:rPr>
        <w:rFonts w:hint="default"/>
      </w:rPr>
    </w:lvl>
    <w:lvl w:ilvl="3">
      <w:start w:val="1"/>
      <w:numFmt w:val="lowerLetter"/>
      <w:lvlText w:val="(%4)"/>
      <w:lvlJc w:val="left"/>
      <w:pPr>
        <w:ind w:left="1559" w:firstLine="0"/>
      </w:pPr>
      <w:rPr>
        <w:rFonts w:hint="default"/>
      </w:rPr>
    </w:lvl>
    <w:lvl w:ilvl="4">
      <w:start w:val="1"/>
      <w:numFmt w:val="none"/>
      <w:lvlText w:val=""/>
      <w:lvlJc w:val="left"/>
      <w:pPr>
        <w:ind w:left="113" w:firstLine="0"/>
      </w:pPr>
      <w:rPr>
        <w:rFonts w:hint="default"/>
      </w:rPr>
    </w:lvl>
    <w:lvl w:ilvl="5">
      <w:start w:val="1"/>
      <w:numFmt w:val="none"/>
      <w:lvlText w:val=""/>
      <w:lvlJc w:val="left"/>
      <w:pPr>
        <w:ind w:left="113" w:firstLine="0"/>
      </w:pPr>
      <w:rPr>
        <w:rFonts w:hint="default"/>
      </w:rPr>
    </w:lvl>
    <w:lvl w:ilvl="6">
      <w:start w:val="1"/>
      <w:numFmt w:val="none"/>
      <w:lvlText w:val=""/>
      <w:lvlJc w:val="left"/>
      <w:pPr>
        <w:ind w:left="113" w:firstLine="0"/>
      </w:pPr>
      <w:rPr>
        <w:rFonts w:hint="default"/>
      </w:rPr>
    </w:lvl>
    <w:lvl w:ilvl="7">
      <w:start w:val="1"/>
      <w:numFmt w:val="none"/>
      <w:lvlText w:val=""/>
      <w:lvlJc w:val="left"/>
      <w:pPr>
        <w:ind w:left="113" w:firstLine="0"/>
      </w:pPr>
      <w:rPr>
        <w:rFonts w:hint="default"/>
      </w:rPr>
    </w:lvl>
    <w:lvl w:ilvl="8">
      <w:start w:val="1"/>
      <w:numFmt w:val="none"/>
      <w:lvlText w:val=""/>
      <w:lvlJc w:val="left"/>
      <w:pPr>
        <w:ind w:left="113" w:firstLine="0"/>
      </w:pPr>
      <w:rPr>
        <w:rFonts w:hint="default"/>
      </w:rPr>
    </w:lvl>
  </w:abstractNum>
  <w:abstractNum w:abstractNumId="31" w15:restartNumberingAfterBreak="0">
    <w:nsid w:val="40885645"/>
    <w:multiLevelType w:val="multilevel"/>
    <w:tmpl w:val="E1AE68AE"/>
    <w:lvl w:ilvl="0">
      <w:start w:val="1"/>
      <w:numFmt w:val="decimal"/>
      <w:lvlText w:val="%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454" w:hanging="341"/>
      </w:pPr>
      <w:rPr>
        <w:rFonts w:ascii="Times New Roman" w:hAnsi="Times New Roman" w:cs="Times New Roman" w:hint="default"/>
        <w:color w:val="auto"/>
        <w:sz w:val="22"/>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2" w15:restartNumberingAfterBreak="0">
    <w:nsid w:val="41D6794E"/>
    <w:multiLevelType w:val="hybridMultilevel"/>
    <w:tmpl w:val="41AA9098"/>
    <w:lvl w:ilvl="0" w:tplc="B0B245AE">
      <w:start w:val="1"/>
      <w:numFmt w:val="decimal"/>
      <w:pStyle w:val="Titlename"/>
      <w:lvlText w:val="TITLE %1"/>
      <w:lvlJc w:val="center"/>
      <w:pPr>
        <w:ind w:left="890" w:hanging="360"/>
      </w:pPr>
      <w:rPr>
        <w:rFonts w:ascii="Times New Roman" w:hAnsi="Times New Roman" w:cs="Times New Roman" w:hint="default"/>
        <w:b/>
        <w:bCs w:val="0"/>
        <w:i w:val="0"/>
        <w:iCs w:val="0"/>
        <w:caps w:val="0"/>
        <w:strike w:val="0"/>
        <w:dstrike w:val="0"/>
        <w:vanish w:val="0"/>
        <w:color w:val="23236E" w:themeColor="text2"/>
        <w:spacing w:val="0"/>
        <w:kern w:val="0"/>
        <w:position w:val="0"/>
        <w:sz w:val="24"/>
        <w:u w:val="none"/>
        <w:effect w:val="none"/>
        <w:vertAlign w:val="baseline"/>
        <w:em w:val="none"/>
      </w:rPr>
    </w:lvl>
    <w:lvl w:ilvl="1" w:tplc="08090019" w:tentative="1">
      <w:start w:val="1"/>
      <w:numFmt w:val="lowerLetter"/>
      <w:lvlText w:val="%2."/>
      <w:lvlJc w:val="left"/>
      <w:pPr>
        <w:ind w:left="1610" w:hanging="360"/>
      </w:pPr>
    </w:lvl>
    <w:lvl w:ilvl="2" w:tplc="0809001B" w:tentative="1">
      <w:start w:val="1"/>
      <w:numFmt w:val="lowerRoman"/>
      <w:lvlText w:val="%3."/>
      <w:lvlJc w:val="right"/>
      <w:pPr>
        <w:ind w:left="2330" w:hanging="180"/>
      </w:pPr>
    </w:lvl>
    <w:lvl w:ilvl="3" w:tplc="0809000F" w:tentative="1">
      <w:start w:val="1"/>
      <w:numFmt w:val="decimal"/>
      <w:lvlText w:val="%4."/>
      <w:lvlJc w:val="left"/>
      <w:pPr>
        <w:ind w:left="3050" w:hanging="360"/>
      </w:pPr>
    </w:lvl>
    <w:lvl w:ilvl="4" w:tplc="08090019" w:tentative="1">
      <w:start w:val="1"/>
      <w:numFmt w:val="lowerLetter"/>
      <w:lvlText w:val="%5."/>
      <w:lvlJc w:val="left"/>
      <w:pPr>
        <w:ind w:left="3770" w:hanging="360"/>
      </w:pPr>
    </w:lvl>
    <w:lvl w:ilvl="5" w:tplc="0809001B" w:tentative="1">
      <w:start w:val="1"/>
      <w:numFmt w:val="lowerRoman"/>
      <w:lvlText w:val="%6."/>
      <w:lvlJc w:val="right"/>
      <w:pPr>
        <w:ind w:left="4490" w:hanging="180"/>
      </w:pPr>
    </w:lvl>
    <w:lvl w:ilvl="6" w:tplc="0809000F" w:tentative="1">
      <w:start w:val="1"/>
      <w:numFmt w:val="decimal"/>
      <w:lvlText w:val="%7."/>
      <w:lvlJc w:val="left"/>
      <w:pPr>
        <w:ind w:left="5210" w:hanging="360"/>
      </w:pPr>
    </w:lvl>
    <w:lvl w:ilvl="7" w:tplc="08090019" w:tentative="1">
      <w:start w:val="1"/>
      <w:numFmt w:val="lowerLetter"/>
      <w:lvlText w:val="%8."/>
      <w:lvlJc w:val="left"/>
      <w:pPr>
        <w:ind w:left="5930" w:hanging="360"/>
      </w:pPr>
    </w:lvl>
    <w:lvl w:ilvl="8" w:tplc="0809001B" w:tentative="1">
      <w:start w:val="1"/>
      <w:numFmt w:val="lowerRoman"/>
      <w:lvlText w:val="%9."/>
      <w:lvlJc w:val="right"/>
      <w:pPr>
        <w:ind w:left="6650" w:hanging="180"/>
      </w:pPr>
    </w:lvl>
  </w:abstractNum>
  <w:abstractNum w:abstractNumId="33" w15:restartNumberingAfterBreak="0">
    <w:nsid w:val="4583755F"/>
    <w:multiLevelType w:val="multilevel"/>
    <w:tmpl w:val="785CD0DA"/>
    <w:lvl w:ilvl="0">
      <w:start w:val="1"/>
      <w:numFmt w:val="lowerRoman"/>
      <w:lvlText w:val="(%1)"/>
      <w:lvlJc w:val="right"/>
      <w:pPr>
        <w:ind w:left="2138"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2232" w:hanging="341"/>
      </w:pPr>
      <w:rPr>
        <w:rFonts w:ascii="Times New Roman" w:hAnsi="Times New Roman" w:cs="Times New Roman" w:hint="default"/>
        <w:color w:val="auto"/>
        <w:sz w:val="22"/>
      </w:rPr>
    </w:lvl>
    <w:lvl w:ilvl="2">
      <w:start w:val="1"/>
      <w:numFmt w:val="none"/>
      <w:lvlText w:val=""/>
      <w:lvlJc w:val="left"/>
      <w:pPr>
        <w:ind w:left="1778" w:firstLine="0"/>
      </w:pPr>
      <w:rPr>
        <w:rFonts w:hint="default"/>
      </w:rPr>
    </w:lvl>
    <w:lvl w:ilvl="3">
      <w:start w:val="1"/>
      <w:numFmt w:val="none"/>
      <w:lvlText w:val=""/>
      <w:lvlJc w:val="left"/>
      <w:pPr>
        <w:ind w:left="1778" w:firstLine="0"/>
      </w:pPr>
      <w:rPr>
        <w:rFonts w:hint="default"/>
      </w:rPr>
    </w:lvl>
    <w:lvl w:ilvl="4">
      <w:start w:val="1"/>
      <w:numFmt w:val="none"/>
      <w:lvlText w:val=""/>
      <w:lvlJc w:val="left"/>
      <w:pPr>
        <w:ind w:left="1778" w:firstLine="0"/>
      </w:pPr>
      <w:rPr>
        <w:rFonts w:hint="default"/>
      </w:rPr>
    </w:lvl>
    <w:lvl w:ilvl="5">
      <w:start w:val="1"/>
      <w:numFmt w:val="none"/>
      <w:lvlText w:val=""/>
      <w:lvlJc w:val="left"/>
      <w:pPr>
        <w:ind w:left="1778" w:firstLine="0"/>
      </w:pPr>
      <w:rPr>
        <w:rFonts w:hint="default"/>
      </w:rPr>
    </w:lvl>
    <w:lvl w:ilvl="6">
      <w:start w:val="1"/>
      <w:numFmt w:val="none"/>
      <w:lvlText w:val=""/>
      <w:lvlJc w:val="left"/>
      <w:pPr>
        <w:ind w:left="1778" w:firstLine="0"/>
      </w:pPr>
      <w:rPr>
        <w:rFonts w:hint="default"/>
      </w:rPr>
    </w:lvl>
    <w:lvl w:ilvl="7">
      <w:start w:val="1"/>
      <w:numFmt w:val="none"/>
      <w:lvlText w:val=""/>
      <w:lvlJc w:val="left"/>
      <w:pPr>
        <w:ind w:left="1778" w:firstLine="0"/>
      </w:pPr>
      <w:rPr>
        <w:rFonts w:hint="default"/>
      </w:rPr>
    </w:lvl>
    <w:lvl w:ilvl="8">
      <w:start w:val="1"/>
      <w:numFmt w:val="none"/>
      <w:lvlText w:val=""/>
      <w:lvlJc w:val="left"/>
      <w:pPr>
        <w:ind w:left="1778" w:firstLine="0"/>
      </w:pPr>
      <w:rPr>
        <w:rFonts w:hint="default"/>
      </w:rPr>
    </w:lvl>
  </w:abstractNum>
  <w:abstractNum w:abstractNumId="34" w15:restartNumberingAfterBreak="0">
    <w:nsid w:val="48676485"/>
    <w:multiLevelType w:val="hybridMultilevel"/>
    <w:tmpl w:val="4B44C100"/>
    <w:lvl w:ilvl="0" w:tplc="926E1C40">
      <w:start w:val="1"/>
      <w:numFmt w:val="lowerLetter"/>
      <w:lvlText w:val="(%1)"/>
      <w:lvlJc w:val="left"/>
      <w:pPr>
        <w:ind w:left="1069" w:hanging="360"/>
      </w:pPr>
      <w:rPr>
        <w:rFonts w:hint="default"/>
        <w:b w:val="0"/>
      </w:rPr>
    </w:lvl>
    <w:lvl w:ilvl="1" w:tplc="08090019" w:tentative="1">
      <w:start w:val="1"/>
      <w:numFmt w:val="lowerLetter"/>
      <w:lvlText w:val="%2."/>
      <w:lvlJc w:val="left"/>
      <w:pPr>
        <w:ind w:left="1777" w:hanging="360"/>
      </w:pPr>
    </w:lvl>
    <w:lvl w:ilvl="2" w:tplc="0809001B" w:tentative="1">
      <w:start w:val="1"/>
      <w:numFmt w:val="lowerRoman"/>
      <w:lvlText w:val="%3."/>
      <w:lvlJc w:val="right"/>
      <w:pPr>
        <w:ind w:left="2497" w:hanging="180"/>
      </w:pPr>
    </w:lvl>
    <w:lvl w:ilvl="3" w:tplc="0809000F" w:tentative="1">
      <w:start w:val="1"/>
      <w:numFmt w:val="decimal"/>
      <w:lvlText w:val="%4."/>
      <w:lvlJc w:val="left"/>
      <w:pPr>
        <w:ind w:left="3217" w:hanging="360"/>
      </w:pPr>
    </w:lvl>
    <w:lvl w:ilvl="4" w:tplc="08090019" w:tentative="1">
      <w:start w:val="1"/>
      <w:numFmt w:val="lowerLetter"/>
      <w:lvlText w:val="%5."/>
      <w:lvlJc w:val="left"/>
      <w:pPr>
        <w:ind w:left="3937" w:hanging="360"/>
      </w:pPr>
    </w:lvl>
    <w:lvl w:ilvl="5" w:tplc="0809001B" w:tentative="1">
      <w:start w:val="1"/>
      <w:numFmt w:val="lowerRoman"/>
      <w:lvlText w:val="%6."/>
      <w:lvlJc w:val="right"/>
      <w:pPr>
        <w:ind w:left="4657" w:hanging="180"/>
      </w:pPr>
    </w:lvl>
    <w:lvl w:ilvl="6" w:tplc="0809000F" w:tentative="1">
      <w:start w:val="1"/>
      <w:numFmt w:val="decimal"/>
      <w:lvlText w:val="%7."/>
      <w:lvlJc w:val="left"/>
      <w:pPr>
        <w:ind w:left="5377" w:hanging="360"/>
      </w:pPr>
    </w:lvl>
    <w:lvl w:ilvl="7" w:tplc="08090019" w:tentative="1">
      <w:start w:val="1"/>
      <w:numFmt w:val="lowerLetter"/>
      <w:lvlText w:val="%8."/>
      <w:lvlJc w:val="left"/>
      <w:pPr>
        <w:ind w:left="6097" w:hanging="360"/>
      </w:pPr>
    </w:lvl>
    <w:lvl w:ilvl="8" w:tplc="0809001B" w:tentative="1">
      <w:start w:val="1"/>
      <w:numFmt w:val="lowerRoman"/>
      <w:lvlText w:val="%9."/>
      <w:lvlJc w:val="right"/>
      <w:pPr>
        <w:ind w:left="6817" w:hanging="180"/>
      </w:pPr>
    </w:lvl>
  </w:abstractNum>
  <w:abstractNum w:abstractNumId="35" w15:restartNumberingAfterBreak="0">
    <w:nsid w:val="4AA301C4"/>
    <w:multiLevelType w:val="multilevel"/>
    <w:tmpl w:val="72161D84"/>
    <w:lvl w:ilvl="0">
      <w:start w:val="1"/>
      <w:numFmt w:val="decimal"/>
      <w:lvlText w:val="%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454" w:hanging="341"/>
      </w:pPr>
      <w:rPr>
        <w:rFonts w:ascii="Times New Roman" w:hAnsi="Times New Roman" w:cs="Times New Roman" w:hint="default"/>
        <w:color w:val="auto"/>
        <w:sz w:val="22"/>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6" w15:restartNumberingAfterBreak="0">
    <w:nsid w:val="4AD06435"/>
    <w:multiLevelType w:val="multilevel"/>
    <w:tmpl w:val="8C40E192"/>
    <w:lvl w:ilvl="0">
      <w:start w:val="1"/>
      <w:numFmt w:val="lowerLetter"/>
      <w:lvlText w:val="(%1)"/>
      <w:lvlJc w:val="left"/>
      <w:pPr>
        <w:ind w:left="1069" w:hanging="360"/>
      </w:pPr>
      <w:rPr>
        <w:rFonts w:hint="default"/>
        <w:sz w:val="22"/>
      </w:rPr>
    </w:lvl>
    <w:lvl w:ilvl="1">
      <w:start w:val="1"/>
      <w:numFmt w:val="lowerLetter"/>
      <w:lvlText w:val="(%2)"/>
      <w:lvlJc w:val="left"/>
      <w:pPr>
        <w:ind w:left="1276" w:hanging="34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none"/>
      <w:lvlText w:val=""/>
      <w:lvlJc w:val="left"/>
      <w:pPr>
        <w:ind w:left="709" w:firstLine="0"/>
      </w:pPr>
      <w:rPr>
        <w:rFonts w:hint="default"/>
      </w:rPr>
    </w:lvl>
    <w:lvl w:ilvl="3">
      <w:start w:val="1"/>
      <w:numFmt w:val="lowerLetter"/>
      <w:lvlText w:val="(%4)"/>
      <w:lvlJc w:val="left"/>
      <w:pPr>
        <w:ind w:left="2155" w:firstLine="0"/>
      </w:pPr>
      <w:rPr>
        <w:rFonts w:hint="default"/>
      </w:rPr>
    </w:lvl>
    <w:lvl w:ilvl="4">
      <w:start w:val="1"/>
      <w:numFmt w:val="none"/>
      <w:lvlText w:val=""/>
      <w:lvlJc w:val="left"/>
      <w:pPr>
        <w:ind w:left="709" w:firstLine="0"/>
      </w:pPr>
      <w:rPr>
        <w:rFonts w:hint="default"/>
      </w:rPr>
    </w:lvl>
    <w:lvl w:ilvl="5">
      <w:start w:val="1"/>
      <w:numFmt w:val="none"/>
      <w:lvlText w:val=""/>
      <w:lvlJc w:val="left"/>
      <w:pPr>
        <w:ind w:left="709" w:firstLine="0"/>
      </w:pPr>
      <w:rPr>
        <w:rFonts w:hint="default"/>
      </w:rPr>
    </w:lvl>
    <w:lvl w:ilvl="6">
      <w:start w:val="1"/>
      <w:numFmt w:val="none"/>
      <w:lvlText w:val=""/>
      <w:lvlJc w:val="left"/>
      <w:pPr>
        <w:ind w:left="709" w:firstLine="0"/>
      </w:pPr>
      <w:rPr>
        <w:rFonts w:hint="default"/>
      </w:rPr>
    </w:lvl>
    <w:lvl w:ilvl="7">
      <w:start w:val="1"/>
      <w:numFmt w:val="none"/>
      <w:lvlText w:val=""/>
      <w:lvlJc w:val="left"/>
      <w:pPr>
        <w:ind w:left="709" w:firstLine="0"/>
      </w:pPr>
      <w:rPr>
        <w:rFonts w:hint="default"/>
      </w:rPr>
    </w:lvl>
    <w:lvl w:ilvl="8">
      <w:start w:val="1"/>
      <w:numFmt w:val="none"/>
      <w:lvlText w:val=""/>
      <w:lvlJc w:val="left"/>
      <w:pPr>
        <w:ind w:left="709" w:firstLine="0"/>
      </w:pPr>
      <w:rPr>
        <w:rFonts w:hint="default"/>
      </w:rPr>
    </w:lvl>
  </w:abstractNum>
  <w:abstractNum w:abstractNumId="37" w15:restartNumberingAfterBreak="0">
    <w:nsid w:val="4D5C78EE"/>
    <w:multiLevelType w:val="multilevel"/>
    <w:tmpl w:val="0E80C546"/>
    <w:styleLink w:val="XXXNummerierung8"/>
    <w:lvl w:ilvl="0">
      <w:start w:val="1"/>
      <w:numFmt w:val="decimal"/>
      <w:lvlText w:val="%1."/>
      <w:lvlJc w:val="left"/>
      <w:pPr>
        <w:ind w:left="357" w:hanging="357"/>
      </w:pPr>
      <w:rPr>
        <w:rFonts w:ascii="Times New Roman" w:hAnsi="Times New Roman"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8" w15:restartNumberingAfterBreak="0">
    <w:nsid w:val="4DB9036E"/>
    <w:multiLevelType w:val="multilevel"/>
    <w:tmpl w:val="785CD0DA"/>
    <w:lvl w:ilvl="0">
      <w:start w:val="1"/>
      <w:numFmt w:val="lowerRoman"/>
      <w:lvlText w:val="(%1)"/>
      <w:lvlJc w:val="right"/>
      <w:pPr>
        <w:ind w:left="2138"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2232" w:hanging="341"/>
      </w:pPr>
      <w:rPr>
        <w:rFonts w:ascii="Times New Roman" w:hAnsi="Times New Roman" w:cs="Times New Roman" w:hint="default"/>
        <w:color w:val="auto"/>
        <w:sz w:val="22"/>
      </w:rPr>
    </w:lvl>
    <w:lvl w:ilvl="2">
      <w:start w:val="1"/>
      <w:numFmt w:val="none"/>
      <w:lvlText w:val=""/>
      <w:lvlJc w:val="left"/>
      <w:pPr>
        <w:ind w:left="1778" w:firstLine="0"/>
      </w:pPr>
      <w:rPr>
        <w:rFonts w:hint="default"/>
      </w:rPr>
    </w:lvl>
    <w:lvl w:ilvl="3">
      <w:start w:val="1"/>
      <w:numFmt w:val="none"/>
      <w:lvlText w:val=""/>
      <w:lvlJc w:val="left"/>
      <w:pPr>
        <w:ind w:left="1778" w:firstLine="0"/>
      </w:pPr>
      <w:rPr>
        <w:rFonts w:hint="default"/>
      </w:rPr>
    </w:lvl>
    <w:lvl w:ilvl="4">
      <w:start w:val="1"/>
      <w:numFmt w:val="none"/>
      <w:lvlText w:val=""/>
      <w:lvlJc w:val="left"/>
      <w:pPr>
        <w:ind w:left="1778" w:firstLine="0"/>
      </w:pPr>
      <w:rPr>
        <w:rFonts w:hint="default"/>
      </w:rPr>
    </w:lvl>
    <w:lvl w:ilvl="5">
      <w:start w:val="1"/>
      <w:numFmt w:val="none"/>
      <w:lvlText w:val=""/>
      <w:lvlJc w:val="left"/>
      <w:pPr>
        <w:ind w:left="1778" w:firstLine="0"/>
      </w:pPr>
      <w:rPr>
        <w:rFonts w:hint="default"/>
      </w:rPr>
    </w:lvl>
    <w:lvl w:ilvl="6">
      <w:start w:val="1"/>
      <w:numFmt w:val="none"/>
      <w:lvlText w:val=""/>
      <w:lvlJc w:val="left"/>
      <w:pPr>
        <w:ind w:left="1778" w:firstLine="0"/>
      </w:pPr>
      <w:rPr>
        <w:rFonts w:hint="default"/>
      </w:rPr>
    </w:lvl>
    <w:lvl w:ilvl="7">
      <w:start w:val="1"/>
      <w:numFmt w:val="none"/>
      <w:lvlText w:val=""/>
      <w:lvlJc w:val="left"/>
      <w:pPr>
        <w:ind w:left="1778" w:firstLine="0"/>
      </w:pPr>
      <w:rPr>
        <w:rFonts w:hint="default"/>
      </w:rPr>
    </w:lvl>
    <w:lvl w:ilvl="8">
      <w:start w:val="1"/>
      <w:numFmt w:val="none"/>
      <w:lvlText w:val=""/>
      <w:lvlJc w:val="left"/>
      <w:pPr>
        <w:ind w:left="1778" w:firstLine="0"/>
      </w:pPr>
      <w:rPr>
        <w:rFonts w:hint="default"/>
      </w:rPr>
    </w:lvl>
  </w:abstractNum>
  <w:abstractNum w:abstractNumId="39" w15:restartNumberingAfterBreak="0">
    <w:nsid w:val="4EA25E9B"/>
    <w:multiLevelType w:val="multilevel"/>
    <w:tmpl w:val="1C62467C"/>
    <w:lvl w:ilvl="0">
      <w:start w:val="1"/>
      <w:numFmt w:val="decimal"/>
      <w:lvlText w:val="%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454" w:hanging="341"/>
      </w:pPr>
      <w:rPr>
        <w:rFonts w:ascii="Times New Roman" w:hAnsi="Times New Roman" w:cs="Times New Roman" w:hint="default"/>
        <w:color w:val="auto"/>
        <w:sz w:val="22"/>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0" w15:restartNumberingAfterBreak="0">
    <w:nsid w:val="52C8011F"/>
    <w:multiLevelType w:val="multilevel"/>
    <w:tmpl w:val="851ADAEC"/>
    <w:lvl w:ilvl="0">
      <w:start w:val="1"/>
      <w:numFmt w:val="lowerLetter"/>
      <w:lvlText w:val="(%1)"/>
      <w:lvlJc w:val="left"/>
      <w:pPr>
        <w:ind w:left="765" w:hanging="360"/>
      </w:pPr>
      <w:rPr>
        <w:rFonts w:hint="default"/>
        <w:b w:val="0"/>
        <w:sz w:val="22"/>
      </w:rPr>
    </w:lvl>
    <w:lvl w:ilvl="1">
      <w:start w:val="1"/>
      <w:numFmt w:val="lowerLetter"/>
      <w:lvlText w:val="(%2)"/>
      <w:lvlJc w:val="left"/>
      <w:pPr>
        <w:ind w:left="972" w:hanging="34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none"/>
      <w:lvlText w:val=""/>
      <w:lvlJc w:val="left"/>
      <w:pPr>
        <w:ind w:left="405" w:firstLine="0"/>
      </w:pPr>
      <w:rPr>
        <w:rFonts w:hint="default"/>
      </w:rPr>
    </w:lvl>
    <w:lvl w:ilvl="3">
      <w:start w:val="1"/>
      <w:numFmt w:val="lowerLetter"/>
      <w:lvlText w:val="(%4)"/>
      <w:lvlJc w:val="left"/>
      <w:pPr>
        <w:ind w:left="405" w:firstLine="0"/>
      </w:pPr>
      <w:rPr>
        <w:rFonts w:hint="default"/>
      </w:rPr>
    </w:lvl>
    <w:lvl w:ilvl="4">
      <w:start w:val="1"/>
      <w:numFmt w:val="none"/>
      <w:lvlText w:val=""/>
      <w:lvlJc w:val="left"/>
      <w:pPr>
        <w:ind w:left="405" w:firstLine="0"/>
      </w:pPr>
      <w:rPr>
        <w:rFonts w:hint="default"/>
      </w:rPr>
    </w:lvl>
    <w:lvl w:ilvl="5">
      <w:start w:val="1"/>
      <w:numFmt w:val="none"/>
      <w:lvlText w:val=""/>
      <w:lvlJc w:val="left"/>
      <w:pPr>
        <w:ind w:left="405" w:firstLine="0"/>
      </w:pPr>
      <w:rPr>
        <w:rFonts w:hint="default"/>
      </w:rPr>
    </w:lvl>
    <w:lvl w:ilvl="6">
      <w:start w:val="1"/>
      <w:numFmt w:val="none"/>
      <w:lvlText w:val=""/>
      <w:lvlJc w:val="left"/>
      <w:pPr>
        <w:ind w:left="405" w:firstLine="0"/>
      </w:pPr>
      <w:rPr>
        <w:rFonts w:hint="default"/>
      </w:rPr>
    </w:lvl>
    <w:lvl w:ilvl="7">
      <w:start w:val="1"/>
      <w:numFmt w:val="none"/>
      <w:lvlText w:val=""/>
      <w:lvlJc w:val="left"/>
      <w:pPr>
        <w:ind w:left="405" w:firstLine="0"/>
      </w:pPr>
      <w:rPr>
        <w:rFonts w:hint="default"/>
      </w:rPr>
    </w:lvl>
    <w:lvl w:ilvl="8">
      <w:start w:val="1"/>
      <w:numFmt w:val="none"/>
      <w:lvlText w:val=""/>
      <w:lvlJc w:val="left"/>
      <w:pPr>
        <w:ind w:left="405" w:firstLine="0"/>
      </w:pPr>
      <w:rPr>
        <w:rFonts w:hint="default"/>
      </w:rPr>
    </w:lvl>
  </w:abstractNum>
  <w:abstractNum w:abstractNumId="41" w15:restartNumberingAfterBreak="0">
    <w:nsid w:val="577D2331"/>
    <w:multiLevelType w:val="multilevel"/>
    <w:tmpl w:val="CED8D8F6"/>
    <w:lvl w:ilvl="0">
      <w:start w:val="1"/>
      <w:numFmt w:val="decimal"/>
      <w:lvlText w:val="%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454" w:hanging="341"/>
      </w:pPr>
      <w:rPr>
        <w:rFonts w:ascii="Times New Roman" w:hAnsi="Times New Roman" w:cs="Times New Roman" w:hint="default"/>
        <w:color w:val="auto"/>
        <w:sz w:val="22"/>
      </w:rPr>
    </w:lvl>
    <w:lvl w:ilvl="2">
      <w:start w:val="1"/>
      <w:numFmt w:val="none"/>
      <w:lvlText w:val=""/>
      <w:lvlJc w:val="left"/>
      <w:pPr>
        <w:ind w:left="0" w:firstLine="0"/>
      </w:pPr>
      <w:rPr>
        <w:rFonts w:hint="default"/>
      </w:rPr>
    </w:lvl>
    <w:lvl w:ilvl="3">
      <w:start w:val="1"/>
      <w:numFmt w:val="lowerLetter"/>
      <w:lvlText w:val="(%4)"/>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2" w15:restartNumberingAfterBreak="0">
    <w:nsid w:val="59597E79"/>
    <w:multiLevelType w:val="multilevel"/>
    <w:tmpl w:val="91EC85CA"/>
    <w:lvl w:ilvl="0">
      <w:start w:val="1"/>
      <w:numFmt w:val="decimal"/>
      <w:lvlText w:val="%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454" w:hanging="341"/>
      </w:pPr>
      <w:rPr>
        <w:rFonts w:ascii="Times New Roman" w:hAnsi="Times New Roman" w:cs="Times New Roman" w:hint="default"/>
        <w:color w:val="auto"/>
        <w:sz w:val="22"/>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3" w15:restartNumberingAfterBreak="0">
    <w:nsid w:val="59F44184"/>
    <w:multiLevelType w:val="multilevel"/>
    <w:tmpl w:val="5B289D04"/>
    <w:lvl w:ilvl="0">
      <w:start w:val="1"/>
      <w:numFmt w:val="decimal"/>
      <w:lvlText w:val="(%1)"/>
      <w:lvlJc w:val="left"/>
      <w:pPr>
        <w:ind w:left="473" w:hanging="360"/>
      </w:pPr>
      <w:rPr>
        <w:rFonts w:hint="default"/>
        <w:sz w:val="22"/>
      </w:rPr>
    </w:lvl>
    <w:lvl w:ilvl="1">
      <w:start w:val="1"/>
      <w:numFmt w:val="lowerLetter"/>
      <w:lvlText w:val="(%2)"/>
      <w:lvlJc w:val="left"/>
      <w:pPr>
        <w:ind w:left="680" w:hanging="34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none"/>
      <w:lvlText w:val=""/>
      <w:lvlJc w:val="left"/>
      <w:pPr>
        <w:ind w:left="113" w:firstLine="0"/>
      </w:pPr>
      <w:rPr>
        <w:rFonts w:hint="default"/>
      </w:rPr>
    </w:lvl>
    <w:lvl w:ilvl="3">
      <w:start w:val="1"/>
      <w:numFmt w:val="lowerLetter"/>
      <w:lvlText w:val="(%4)"/>
      <w:lvlJc w:val="left"/>
      <w:pPr>
        <w:ind w:left="1559" w:firstLine="0"/>
      </w:pPr>
      <w:rPr>
        <w:rFonts w:hint="default"/>
      </w:rPr>
    </w:lvl>
    <w:lvl w:ilvl="4">
      <w:start w:val="1"/>
      <w:numFmt w:val="none"/>
      <w:lvlText w:val=""/>
      <w:lvlJc w:val="left"/>
      <w:pPr>
        <w:ind w:left="113" w:firstLine="0"/>
      </w:pPr>
      <w:rPr>
        <w:rFonts w:hint="default"/>
      </w:rPr>
    </w:lvl>
    <w:lvl w:ilvl="5">
      <w:start w:val="1"/>
      <w:numFmt w:val="none"/>
      <w:lvlText w:val=""/>
      <w:lvlJc w:val="left"/>
      <w:pPr>
        <w:ind w:left="113" w:firstLine="0"/>
      </w:pPr>
      <w:rPr>
        <w:rFonts w:hint="default"/>
      </w:rPr>
    </w:lvl>
    <w:lvl w:ilvl="6">
      <w:start w:val="1"/>
      <w:numFmt w:val="none"/>
      <w:lvlText w:val=""/>
      <w:lvlJc w:val="left"/>
      <w:pPr>
        <w:ind w:left="113" w:firstLine="0"/>
      </w:pPr>
      <w:rPr>
        <w:rFonts w:hint="default"/>
      </w:rPr>
    </w:lvl>
    <w:lvl w:ilvl="7">
      <w:start w:val="1"/>
      <w:numFmt w:val="none"/>
      <w:lvlText w:val=""/>
      <w:lvlJc w:val="left"/>
      <w:pPr>
        <w:ind w:left="113" w:firstLine="0"/>
      </w:pPr>
      <w:rPr>
        <w:rFonts w:hint="default"/>
      </w:rPr>
    </w:lvl>
    <w:lvl w:ilvl="8">
      <w:start w:val="1"/>
      <w:numFmt w:val="none"/>
      <w:lvlText w:val=""/>
      <w:lvlJc w:val="left"/>
      <w:pPr>
        <w:ind w:left="113" w:firstLine="0"/>
      </w:pPr>
      <w:rPr>
        <w:rFonts w:hint="default"/>
      </w:rPr>
    </w:lvl>
  </w:abstractNum>
  <w:abstractNum w:abstractNumId="44" w15:restartNumberingAfterBreak="0">
    <w:nsid w:val="5BDD793D"/>
    <w:multiLevelType w:val="multilevel"/>
    <w:tmpl w:val="5B289D04"/>
    <w:lvl w:ilvl="0">
      <w:start w:val="1"/>
      <w:numFmt w:val="decimal"/>
      <w:lvlText w:val="(%1)"/>
      <w:lvlJc w:val="left"/>
      <w:pPr>
        <w:ind w:left="473" w:hanging="360"/>
      </w:pPr>
      <w:rPr>
        <w:rFonts w:hint="default"/>
        <w:sz w:val="22"/>
      </w:rPr>
    </w:lvl>
    <w:lvl w:ilvl="1">
      <w:start w:val="1"/>
      <w:numFmt w:val="lowerLetter"/>
      <w:lvlText w:val="(%2)"/>
      <w:lvlJc w:val="left"/>
      <w:pPr>
        <w:ind w:left="680" w:hanging="34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none"/>
      <w:lvlText w:val=""/>
      <w:lvlJc w:val="left"/>
      <w:pPr>
        <w:ind w:left="113" w:firstLine="0"/>
      </w:pPr>
      <w:rPr>
        <w:rFonts w:hint="default"/>
      </w:rPr>
    </w:lvl>
    <w:lvl w:ilvl="3">
      <w:start w:val="1"/>
      <w:numFmt w:val="lowerLetter"/>
      <w:lvlText w:val="(%4)"/>
      <w:lvlJc w:val="left"/>
      <w:pPr>
        <w:ind w:left="1559" w:firstLine="0"/>
      </w:pPr>
      <w:rPr>
        <w:rFonts w:hint="default"/>
      </w:rPr>
    </w:lvl>
    <w:lvl w:ilvl="4">
      <w:start w:val="1"/>
      <w:numFmt w:val="none"/>
      <w:lvlText w:val=""/>
      <w:lvlJc w:val="left"/>
      <w:pPr>
        <w:ind w:left="113" w:firstLine="0"/>
      </w:pPr>
      <w:rPr>
        <w:rFonts w:hint="default"/>
      </w:rPr>
    </w:lvl>
    <w:lvl w:ilvl="5">
      <w:start w:val="1"/>
      <w:numFmt w:val="none"/>
      <w:lvlText w:val=""/>
      <w:lvlJc w:val="left"/>
      <w:pPr>
        <w:ind w:left="113" w:firstLine="0"/>
      </w:pPr>
      <w:rPr>
        <w:rFonts w:hint="default"/>
      </w:rPr>
    </w:lvl>
    <w:lvl w:ilvl="6">
      <w:start w:val="1"/>
      <w:numFmt w:val="none"/>
      <w:lvlText w:val=""/>
      <w:lvlJc w:val="left"/>
      <w:pPr>
        <w:ind w:left="113" w:firstLine="0"/>
      </w:pPr>
      <w:rPr>
        <w:rFonts w:hint="default"/>
      </w:rPr>
    </w:lvl>
    <w:lvl w:ilvl="7">
      <w:start w:val="1"/>
      <w:numFmt w:val="none"/>
      <w:lvlText w:val=""/>
      <w:lvlJc w:val="left"/>
      <w:pPr>
        <w:ind w:left="113" w:firstLine="0"/>
      </w:pPr>
      <w:rPr>
        <w:rFonts w:hint="default"/>
      </w:rPr>
    </w:lvl>
    <w:lvl w:ilvl="8">
      <w:start w:val="1"/>
      <w:numFmt w:val="none"/>
      <w:lvlText w:val=""/>
      <w:lvlJc w:val="left"/>
      <w:pPr>
        <w:ind w:left="113" w:firstLine="0"/>
      </w:pPr>
      <w:rPr>
        <w:rFonts w:hint="default"/>
      </w:rPr>
    </w:lvl>
  </w:abstractNum>
  <w:abstractNum w:abstractNumId="45" w15:restartNumberingAfterBreak="0">
    <w:nsid w:val="5D4A3354"/>
    <w:multiLevelType w:val="multilevel"/>
    <w:tmpl w:val="AF40A21E"/>
    <w:styleLink w:val="XXXList"/>
    <w:lvl w:ilvl="0">
      <w:start w:val="1"/>
      <w:numFmt w:val="decimal"/>
      <w:pStyle w:val="headline1"/>
      <w:lvlText w:val="%1."/>
      <w:lvlJc w:val="left"/>
      <w:pPr>
        <w:ind w:left="357" w:hanging="357"/>
      </w:pPr>
      <w:rPr>
        <w:rFonts w:asciiTheme="majorHAnsi" w:hAnsiTheme="majorHAnsi" w:hint="default"/>
        <w:b/>
        <w:i w:val="0"/>
        <w:color w:val="23236E" w:themeColor="text2"/>
        <w:sz w:val="28"/>
        <w:u w:color="23236E" w:themeColor="text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asciiTheme="majorHAnsi" w:hAnsiTheme="majorHAnsi" w:hint="default"/>
        <w:b/>
        <w:i w:val="0"/>
        <w:color w:val="23236E" w:themeColor="text2"/>
        <w:sz w:val="28"/>
        <w:u w:color="23236E" w:themeColor="text2"/>
      </w:rPr>
    </w:lvl>
  </w:abstractNum>
  <w:abstractNum w:abstractNumId="46" w15:restartNumberingAfterBreak="0">
    <w:nsid w:val="5D764CA9"/>
    <w:multiLevelType w:val="multilevel"/>
    <w:tmpl w:val="91EC85CA"/>
    <w:lvl w:ilvl="0">
      <w:start w:val="1"/>
      <w:numFmt w:val="decimal"/>
      <w:lvlText w:val="%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454" w:hanging="341"/>
      </w:pPr>
      <w:rPr>
        <w:rFonts w:ascii="Times New Roman" w:hAnsi="Times New Roman" w:cs="Times New Roman" w:hint="default"/>
        <w:color w:val="auto"/>
        <w:sz w:val="22"/>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7" w15:restartNumberingAfterBreak="0">
    <w:nsid w:val="5E4E2CCC"/>
    <w:multiLevelType w:val="multilevel"/>
    <w:tmpl w:val="7CFC2B44"/>
    <w:lvl w:ilvl="0">
      <w:start w:val="1"/>
      <w:numFmt w:val="decimal"/>
      <w:lvlText w:val="%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454" w:hanging="341"/>
      </w:pPr>
      <w:rPr>
        <w:rFonts w:ascii="Times New Roman" w:hAnsi="Times New Roman" w:cs="Times New Roman" w:hint="default"/>
        <w:color w:val="auto"/>
        <w:sz w:val="22"/>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8" w15:restartNumberingAfterBreak="0">
    <w:nsid w:val="5EF63C7D"/>
    <w:multiLevelType w:val="multilevel"/>
    <w:tmpl w:val="F9A00892"/>
    <w:styleLink w:val="XXXBulletList"/>
    <w:lvl w:ilvl="0">
      <w:start w:val="1"/>
      <w:numFmt w:val="bullet"/>
      <w:pStyle w:val="decisionbullet1"/>
      <w:lvlText w:val="‒"/>
      <w:lvlJc w:val="left"/>
      <w:pPr>
        <w:ind w:left="357" w:hanging="357"/>
      </w:pPr>
      <w:rPr>
        <w:rFonts w:ascii="Calibri" w:hAnsi="Calibri" w:hint="default"/>
        <w:color w:val="auto"/>
        <w:sz w:val="22"/>
      </w:rPr>
    </w:lvl>
    <w:lvl w:ilvl="1">
      <w:start w:val="1"/>
      <w:numFmt w:val="bullet"/>
      <w:pStyle w:val="decisionbullet2"/>
      <w:lvlText w:val="‒"/>
      <w:lvlJc w:val="left"/>
      <w:pPr>
        <w:ind w:left="374" w:hanging="17"/>
      </w:pPr>
      <w:rPr>
        <w:rFonts w:ascii="Times New Roman" w:hAnsi="Times New Roman" w:cs="Times New Roman" w:hint="default"/>
        <w:color w:val="auto"/>
        <w:sz w:val="22"/>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9" w15:restartNumberingAfterBreak="0">
    <w:nsid w:val="62B91409"/>
    <w:multiLevelType w:val="hybridMultilevel"/>
    <w:tmpl w:val="4B44C100"/>
    <w:lvl w:ilvl="0" w:tplc="926E1C40">
      <w:start w:val="1"/>
      <w:numFmt w:val="lowerLetter"/>
      <w:lvlText w:val="(%1)"/>
      <w:lvlJc w:val="left"/>
      <w:pPr>
        <w:ind w:left="1069" w:hanging="360"/>
      </w:pPr>
      <w:rPr>
        <w:rFonts w:hint="default"/>
        <w:b w:val="0"/>
      </w:rPr>
    </w:lvl>
    <w:lvl w:ilvl="1" w:tplc="08090019" w:tentative="1">
      <w:start w:val="1"/>
      <w:numFmt w:val="lowerLetter"/>
      <w:lvlText w:val="%2."/>
      <w:lvlJc w:val="left"/>
      <w:pPr>
        <w:ind w:left="1777" w:hanging="360"/>
      </w:pPr>
    </w:lvl>
    <w:lvl w:ilvl="2" w:tplc="0809001B" w:tentative="1">
      <w:start w:val="1"/>
      <w:numFmt w:val="lowerRoman"/>
      <w:lvlText w:val="%3."/>
      <w:lvlJc w:val="right"/>
      <w:pPr>
        <w:ind w:left="2497" w:hanging="180"/>
      </w:pPr>
    </w:lvl>
    <w:lvl w:ilvl="3" w:tplc="0809000F" w:tentative="1">
      <w:start w:val="1"/>
      <w:numFmt w:val="decimal"/>
      <w:lvlText w:val="%4."/>
      <w:lvlJc w:val="left"/>
      <w:pPr>
        <w:ind w:left="3217" w:hanging="360"/>
      </w:pPr>
    </w:lvl>
    <w:lvl w:ilvl="4" w:tplc="08090019" w:tentative="1">
      <w:start w:val="1"/>
      <w:numFmt w:val="lowerLetter"/>
      <w:lvlText w:val="%5."/>
      <w:lvlJc w:val="left"/>
      <w:pPr>
        <w:ind w:left="3937" w:hanging="360"/>
      </w:pPr>
    </w:lvl>
    <w:lvl w:ilvl="5" w:tplc="0809001B" w:tentative="1">
      <w:start w:val="1"/>
      <w:numFmt w:val="lowerRoman"/>
      <w:lvlText w:val="%6."/>
      <w:lvlJc w:val="right"/>
      <w:pPr>
        <w:ind w:left="4657" w:hanging="180"/>
      </w:pPr>
    </w:lvl>
    <w:lvl w:ilvl="6" w:tplc="0809000F" w:tentative="1">
      <w:start w:val="1"/>
      <w:numFmt w:val="decimal"/>
      <w:lvlText w:val="%7."/>
      <w:lvlJc w:val="left"/>
      <w:pPr>
        <w:ind w:left="5377" w:hanging="360"/>
      </w:pPr>
    </w:lvl>
    <w:lvl w:ilvl="7" w:tplc="08090019" w:tentative="1">
      <w:start w:val="1"/>
      <w:numFmt w:val="lowerLetter"/>
      <w:lvlText w:val="%8."/>
      <w:lvlJc w:val="left"/>
      <w:pPr>
        <w:ind w:left="6097" w:hanging="360"/>
      </w:pPr>
    </w:lvl>
    <w:lvl w:ilvl="8" w:tplc="0809001B" w:tentative="1">
      <w:start w:val="1"/>
      <w:numFmt w:val="lowerRoman"/>
      <w:lvlText w:val="%9."/>
      <w:lvlJc w:val="right"/>
      <w:pPr>
        <w:ind w:left="6817" w:hanging="180"/>
      </w:pPr>
    </w:lvl>
  </w:abstractNum>
  <w:abstractNum w:abstractNumId="50" w15:restartNumberingAfterBreak="0">
    <w:nsid w:val="66BD27B9"/>
    <w:multiLevelType w:val="multilevel"/>
    <w:tmpl w:val="1C62467C"/>
    <w:lvl w:ilvl="0">
      <w:start w:val="1"/>
      <w:numFmt w:val="decimal"/>
      <w:lvlText w:val="%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454" w:hanging="341"/>
      </w:pPr>
      <w:rPr>
        <w:rFonts w:ascii="Times New Roman" w:hAnsi="Times New Roman" w:cs="Times New Roman" w:hint="default"/>
        <w:color w:val="auto"/>
        <w:sz w:val="22"/>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1" w15:restartNumberingAfterBreak="0">
    <w:nsid w:val="69F24625"/>
    <w:multiLevelType w:val="multilevel"/>
    <w:tmpl w:val="91EC85CA"/>
    <w:lvl w:ilvl="0">
      <w:start w:val="1"/>
      <w:numFmt w:val="decimal"/>
      <w:lvlText w:val="%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454" w:hanging="341"/>
      </w:pPr>
      <w:rPr>
        <w:rFonts w:ascii="Times New Roman" w:hAnsi="Times New Roman" w:cs="Times New Roman" w:hint="default"/>
        <w:color w:val="auto"/>
        <w:sz w:val="22"/>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2" w15:restartNumberingAfterBreak="0">
    <w:nsid w:val="7564558A"/>
    <w:multiLevelType w:val="hybridMultilevel"/>
    <w:tmpl w:val="C58AEADA"/>
    <w:lvl w:ilvl="0" w:tplc="2CA2B898">
      <w:start w:val="1"/>
      <w:numFmt w:val="decimal"/>
      <w:lvlText w:val="(%1)"/>
      <w:lvlJc w:val="left"/>
      <w:pPr>
        <w:ind w:left="360" w:hanging="360"/>
      </w:pPr>
      <w:rPr>
        <w:rFonts w:hint="default"/>
      </w:rPr>
    </w:lvl>
    <w:lvl w:ilvl="1" w:tplc="04090019">
      <w:start w:val="1"/>
      <w:numFmt w:val="lowerLetter"/>
      <w:lvlText w:val="%2."/>
      <w:lvlJc w:val="left"/>
      <w:pPr>
        <w:ind w:left="732" w:hanging="360"/>
      </w:pPr>
    </w:lvl>
    <w:lvl w:ilvl="2" w:tplc="098824A4">
      <w:start w:val="1"/>
      <w:numFmt w:val="lowerRoman"/>
      <w:lvlText w:val="(%3)"/>
      <w:lvlJc w:val="right"/>
      <w:pPr>
        <w:ind w:left="1452" w:hanging="180"/>
      </w:pPr>
      <w:rPr>
        <w:rFonts w:hint="default"/>
      </w:rPr>
    </w:lvl>
    <w:lvl w:ilvl="3" w:tplc="098824A4">
      <w:start w:val="1"/>
      <w:numFmt w:val="lowerRoman"/>
      <w:lvlText w:val="(%4)"/>
      <w:lvlJc w:val="right"/>
      <w:pPr>
        <w:ind w:left="2172" w:hanging="360"/>
      </w:pPr>
      <w:rPr>
        <w:rFonts w:hint="default"/>
      </w:rPr>
    </w:lvl>
    <w:lvl w:ilvl="4" w:tplc="04090019" w:tentative="1">
      <w:start w:val="1"/>
      <w:numFmt w:val="lowerLetter"/>
      <w:lvlText w:val="%5."/>
      <w:lvlJc w:val="left"/>
      <w:pPr>
        <w:ind w:left="2892" w:hanging="360"/>
      </w:pPr>
    </w:lvl>
    <w:lvl w:ilvl="5" w:tplc="0409001B" w:tentative="1">
      <w:start w:val="1"/>
      <w:numFmt w:val="lowerRoman"/>
      <w:lvlText w:val="%6."/>
      <w:lvlJc w:val="right"/>
      <w:pPr>
        <w:ind w:left="3612" w:hanging="180"/>
      </w:pPr>
    </w:lvl>
    <w:lvl w:ilvl="6" w:tplc="0409000F" w:tentative="1">
      <w:start w:val="1"/>
      <w:numFmt w:val="decimal"/>
      <w:lvlText w:val="%7."/>
      <w:lvlJc w:val="left"/>
      <w:pPr>
        <w:ind w:left="4332" w:hanging="360"/>
      </w:pPr>
    </w:lvl>
    <w:lvl w:ilvl="7" w:tplc="04090019" w:tentative="1">
      <w:start w:val="1"/>
      <w:numFmt w:val="lowerLetter"/>
      <w:lvlText w:val="%8."/>
      <w:lvlJc w:val="left"/>
      <w:pPr>
        <w:ind w:left="5052" w:hanging="360"/>
      </w:pPr>
    </w:lvl>
    <w:lvl w:ilvl="8" w:tplc="0409001B" w:tentative="1">
      <w:start w:val="1"/>
      <w:numFmt w:val="lowerRoman"/>
      <w:lvlText w:val="%9."/>
      <w:lvlJc w:val="right"/>
      <w:pPr>
        <w:ind w:left="5772" w:hanging="180"/>
      </w:pPr>
    </w:lvl>
  </w:abstractNum>
  <w:abstractNum w:abstractNumId="53" w15:restartNumberingAfterBreak="0">
    <w:nsid w:val="75F51C91"/>
    <w:multiLevelType w:val="multilevel"/>
    <w:tmpl w:val="8C40E192"/>
    <w:lvl w:ilvl="0">
      <w:start w:val="1"/>
      <w:numFmt w:val="lowerLetter"/>
      <w:lvlText w:val="(%1)"/>
      <w:lvlJc w:val="left"/>
      <w:pPr>
        <w:ind w:left="1069" w:hanging="360"/>
      </w:pPr>
      <w:rPr>
        <w:rFonts w:hint="default"/>
        <w:sz w:val="22"/>
      </w:rPr>
    </w:lvl>
    <w:lvl w:ilvl="1">
      <w:start w:val="1"/>
      <w:numFmt w:val="lowerLetter"/>
      <w:lvlText w:val="(%2)"/>
      <w:lvlJc w:val="left"/>
      <w:pPr>
        <w:ind w:left="1276" w:hanging="34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none"/>
      <w:lvlText w:val=""/>
      <w:lvlJc w:val="left"/>
      <w:pPr>
        <w:ind w:left="709" w:firstLine="0"/>
      </w:pPr>
      <w:rPr>
        <w:rFonts w:hint="default"/>
      </w:rPr>
    </w:lvl>
    <w:lvl w:ilvl="3">
      <w:start w:val="1"/>
      <w:numFmt w:val="lowerLetter"/>
      <w:lvlText w:val="(%4)"/>
      <w:lvlJc w:val="left"/>
      <w:pPr>
        <w:ind w:left="2155" w:firstLine="0"/>
      </w:pPr>
      <w:rPr>
        <w:rFonts w:hint="default"/>
      </w:rPr>
    </w:lvl>
    <w:lvl w:ilvl="4">
      <w:start w:val="1"/>
      <w:numFmt w:val="none"/>
      <w:lvlText w:val=""/>
      <w:lvlJc w:val="left"/>
      <w:pPr>
        <w:ind w:left="709" w:firstLine="0"/>
      </w:pPr>
      <w:rPr>
        <w:rFonts w:hint="default"/>
      </w:rPr>
    </w:lvl>
    <w:lvl w:ilvl="5">
      <w:start w:val="1"/>
      <w:numFmt w:val="none"/>
      <w:lvlText w:val=""/>
      <w:lvlJc w:val="left"/>
      <w:pPr>
        <w:ind w:left="709" w:firstLine="0"/>
      </w:pPr>
      <w:rPr>
        <w:rFonts w:hint="default"/>
      </w:rPr>
    </w:lvl>
    <w:lvl w:ilvl="6">
      <w:start w:val="1"/>
      <w:numFmt w:val="none"/>
      <w:lvlText w:val=""/>
      <w:lvlJc w:val="left"/>
      <w:pPr>
        <w:ind w:left="709" w:firstLine="0"/>
      </w:pPr>
      <w:rPr>
        <w:rFonts w:hint="default"/>
      </w:rPr>
    </w:lvl>
    <w:lvl w:ilvl="7">
      <w:start w:val="1"/>
      <w:numFmt w:val="none"/>
      <w:lvlText w:val=""/>
      <w:lvlJc w:val="left"/>
      <w:pPr>
        <w:ind w:left="709" w:firstLine="0"/>
      </w:pPr>
      <w:rPr>
        <w:rFonts w:hint="default"/>
      </w:rPr>
    </w:lvl>
    <w:lvl w:ilvl="8">
      <w:start w:val="1"/>
      <w:numFmt w:val="none"/>
      <w:lvlText w:val=""/>
      <w:lvlJc w:val="left"/>
      <w:pPr>
        <w:ind w:left="709" w:firstLine="0"/>
      </w:pPr>
      <w:rPr>
        <w:rFonts w:hint="default"/>
      </w:rPr>
    </w:lvl>
  </w:abstractNum>
  <w:abstractNum w:abstractNumId="54" w15:restartNumberingAfterBreak="0">
    <w:nsid w:val="79EA6593"/>
    <w:multiLevelType w:val="multilevel"/>
    <w:tmpl w:val="5B289D04"/>
    <w:lvl w:ilvl="0">
      <w:start w:val="1"/>
      <w:numFmt w:val="decimal"/>
      <w:lvlText w:val="(%1)"/>
      <w:lvlJc w:val="left"/>
      <w:pPr>
        <w:ind w:left="473" w:hanging="360"/>
      </w:pPr>
      <w:rPr>
        <w:rFonts w:hint="default"/>
        <w:sz w:val="22"/>
      </w:rPr>
    </w:lvl>
    <w:lvl w:ilvl="1">
      <w:start w:val="1"/>
      <w:numFmt w:val="lowerLetter"/>
      <w:lvlText w:val="(%2)"/>
      <w:lvlJc w:val="left"/>
      <w:pPr>
        <w:ind w:left="680" w:hanging="34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none"/>
      <w:lvlText w:val=""/>
      <w:lvlJc w:val="left"/>
      <w:pPr>
        <w:ind w:left="113" w:firstLine="0"/>
      </w:pPr>
      <w:rPr>
        <w:rFonts w:hint="default"/>
      </w:rPr>
    </w:lvl>
    <w:lvl w:ilvl="3">
      <w:start w:val="1"/>
      <w:numFmt w:val="lowerLetter"/>
      <w:lvlText w:val="(%4)"/>
      <w:lvlJc w:val="left"/>
      <w:pPr>
        <w:ind w:left="1559" w:firstLine="0"/>
      </w:pPr>
      <w:rPr>
        <w:rFonts w:hint="default"/>
      </w:rPr>
    </w:lvl>
    <w:lvl w:ilvl="4">
      <w:start w:val="1"/>
      <w:numFmt w:val="none"/>
      <w:lvlText w:val=""/>
      <w:lvlJc w:val="left"/>
      <w:pPr>
        <w:ind w:left="113" w:firstLine="0"/>
      </w:pPr>
      <w:rPr>
        <w:rFonts w:hint="default"/>
      </w:rPr>
    </w:lvl>
    <w:lvl w:ilvl="5">
      <w:start w:val="1"/>
      <w:numFmt w:val="none"/>
      <w:lvlText w:val=""/>
      <w:lvlJc w:val="left"/>
      <w:pPr>
        <w:ind w:left="113" w:firstLine="0"/>
      </w:pPr>
      <w:rPr>
        <w:rFonts w:hint="default"/>
      </w:rPr>
    </w:lvl>
    <w:lvl w:ilvl="6">
      <w:start w:val="1"/>
      <w:numFmt w:val="none"/>
      <w:lvlText w:val=""/>
      <w:lvlJc w:val="left"/>
      <w:pPr>
        <w:ind w:left="113" w:firstLine="0"/>
      </w:pPr>
      <w:rPr>
        <w:rFonts w:hint="default"/>
      </w:rPr>
    </w:lvl>
    <w:lvl w:ilvl="7">
      <w:start w:val="1"/>
      <w:numFmt w:val="none"/>
      <w:lvlText w:val=""/>
      <w:lvlJc w:val="left"/>
      <w:pPr>
        <w:ind w:left="113" w:firstLine="0"/>
      </w:pPr>
      <w:rPr>
        <w:rFonts w:hint="default"/>
      </w:rPr>
    </w:lvl>
    <w:lvl w:ilvl="8">
      <w:start w:val="1"/>
      <w:numFmt w:val="none"/>
      <w:lvlText w:val=""/>
      <w:lvlJc w:val="left"/>
      <w:pPr>
        <w:ind w:left="113" w:firstLine="0"/>
      </w:pPr>
      <w:rPr>
        <w:rFonts w:hint="default"/>
      </w:rPr>
    </w:lvl>
  </w:abstractNum>
  <w:abstractNum w:abstractNumId="55" w15:restartNumberingAfterBreak="0">
    <w:nsid w:val="7F3C013A"/>
    <w:multiLevelType w:val="hybridMultilevel"/>
    <w:tmpl w:val="6C5A1D34"/>
    <w:lvl w:ilvl="0" w:tplc="098824A4">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45"/>
  </w:num>
  <w:num w:numId="2">
    <w:abstractNumId w:val="48"/>
  </w:num>
  <w:num w:numId="3">
    <w:abstractNumId w:val="37"/>
  </w:num>
  <w:num w:numId="4">
    <w:abstractNumId w:val="14"/>
  </w:num>
  <w:num w:numId="5">
    <w:abstractNumId w:val="23"/>
  </w:num>
  <w:num w:numId="6">
    <w:abstractNumId w:val="32"/>
  </w:num>
  <w:num w:numId="7">
    <w:abstractNumId w:val="0"/>
  </w:num>
  <w:num w:numId="8">
    <w:abstractNumId w:val="13"/>
  </w:num>
  <w:num w:numId="9">
    <w:abstractNumId w:val="15"/>
  </w:num>
  <w:num w:numId="10">
    <w:abstractNumId w:val="21"/>
  </w:num>
  <w:num w:numId="11">
    <w:abstractNumId w:val="42"/>
  </w:num>
  <w:num w:numId="12">
    <w:abstractNumId w:val="47"/>
  </w:num>
  <w:num w:numId="13">
    <w:abstractNumId w:val="41"/>
  </w:num>
  <w:num w:numId="14">
    <w:abstractNumId w:val="39"/>
  </w:num>
  <w:num w:numId="15">
    <w:abstractNumId w:val="29"/>
  </w:num>
  <w:num w:numId="16">
    <w:abstractNumId w:val="31"/>
  </w:num>
  <w:num w:numId="17">
    <w:abstractNumId w:val="4"/>
  </w:num>
  <w:num w:numId="18">
    <w:abstractNumId w:val="54"/>
  </w:num>
  <w:num w:numId="19">
    <w:abstractNumId w:val="44"/>
  </w:num>
  <w:num w:numId="20">
    <w:abstractNumId w:val="16"/>
  </w:num>
  <w:num w:numId="21">
    <w:abstractNumId w:val="43"/>
  </w:num>
  <w:num w:numId="22">
    <w:abstractNumId w:val="30"/>
  </w:num>
  <w:num w:numId="23">
    <w:abstractNumId w:val="10"/>
  </w:num>
  <w:num w:numId="24">
    <w:abstractNumId w:val="19"/>
  </w:num>
  <w:num w:numId="25">
    <w:abstractNumId w:val="3"/>
  </w:num>
  <w:num w:numId="26">
    <w:abstractNumId w:val="25"/>
  </w:num>
  <w:num w:numId="27">
    <w:abstractNumId w:val="36"/>
  </w:num>
  <w:num w:numId="28">
    <w:abstractNumId w:val="9"/>
  </w:num>
  <w:num w:numId="29">
    <w:abstractNumId w:val="5"/>
  </w:num>
  <w:num w:numId="30">
    <w:abstractNumId w:val="55"/>
  </w:num>
  <w:num w:numId="31">
    <w:abstractNumId w:val="17"/>
  </w:num>
  <w:num w:numId="32">
    <w:abstractNumId w:val="53"/>
  </w:num>
  <w:num w:numId="33">
    <w:abstractNumId w:val="18"/>
  </w:num>
  <w:num w:numId="34">
    <w:abstractNumId w:val="1"/>
  </w:num>
  <w:num w:numId="35">
    <w:abstractNumId w:val="50"/>
  </w:num>
  <w:num w:numId="36">
    <w:abstractNumId w:val="7"/>
  </w:num>
  <w:num w:numId="37">
    <w:abstractNumId w:val="35"/>
  </w:num>
  <w:num w:numId="38">
    <w:abstractNumId w:val="27"/>
  </w:num>
  <w:num w:numId="39">
    <w:abstractNumId w:val="52"/>
  </w:num>
  <w:num w:numId="40">
    <w:abstractNumId w:val="34"/>
  </w:num>
  <w:num w:numId="41">
    <w:abstractNumId w:val="2"/>
  </w:num>
  <w:num w:numId="42">
    <w:abstractNumId w:val="49"/>
  </w:num>
  <w:num w:numId="43">
    <w:abstractNumId w:val="40"/>
  </w:num>
  <w:num w:numId="44">
    <w:abstractNumId w:val="20"/>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1"/>
  </w:num>
  <w:num w:numId="47">
    <w:abstractNumId w:val="28"/>
  </w:num>
  <w:num w:numId="48">
    <w:abstractNumId w:val="24"/>
  </w:num>
  <w:num w:numId="49">
    <w:abstractNumId w:val="26"/>
  </w:num>
  <w:num w:numId="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num>
  <w:num w:numId="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8"/>
  </w:num>
  <w:num w:numId="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2"/>
  </w:num>
  <w:num w:numId="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1"/>
  </w:num>
  <w:num w:numId="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8"/>
  </w:num>
  <w:num w:numId="72">
    <w:abstractNumId w:val="33"/>
  </w:num>
  <w:num w:numId="73">
    <w:abstractNumId w:val="6"/>
  </w:num>
  <w:num w:numId="74">
    <w:abstractNumId w:val="1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de-AT" w:vendorID="64" w:dllVersion="131078" w:nlCheck="1" w:checkStyle="0"/>
  <w:activeWritingStyle w:appName="MSWord" w:lang="fr-FR" w:vendorID="64" w:dllVersion="131078" w:nlCheck="1" w:checkStyle="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Formatting/>
  <w:defaultTabStop w:val="709"/>
  <w:hyphenationZone w:val="425"/>
  <w:drawingGridHorizontalSpacing w:val="110"/>
  <w:displayHorizontalDrawingGridEvery w:val="2"/>
  <w:characterSpacingControl w:val="doNotCompress"/>
  <w:hdrShapeDefaults>
    <o:shapedefaults v:ext="edit" spidmax="16385" style="mso-position-horizontal-relative:page;mso-position-vertical-relative:page" strokecolor="none [3215]">
      <v:stroke color="none [3215]" weight="1pt"/>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45D"/>
    <w:rsid w:val="000009EB"/>
    <w:rsid w:val="00000ABE"/>
    <w:rsid w:val="00000B86"/>
    <w:rsid w:val="00000E29"/>
    <w:rsid w:val="000014D7"/>
    <w:rsid w:val="00001756"/>
    <w:rsid w:val="000027A9"/>
    <w:rsid w:val="00003124"/>
    <w:rsid w:val="00003462"/>
    <w:rsid w:val="000038A4"/>
    <w:rsid w:val="00004107"/>
    <w:rsid w:val="00004E7A"/>
    <w:rsid w:val="000050B0"/>
    <w:rsid w:val="00005166"/>
    <w:rsid w:val="00006245"/>
    <w:rsid w:val="00006FCF"/>
    <w:rsid w:val="0000701C"/>
    <w:rsid w:val="00007472"/>
    <w:rsid w:val="00007546"/>
    <w:rsid w:val="00010BF2"/>
    <w:rsid w:val="00010CA3"/>
    <w:rsid w:val="00011020"/>
    <w:rsid w:val="00011047"/>
    <w:rsid w:val="000112B2"/>
    <w:rsid w:val="0001136E"/>
    <w:rsid w:val="000118B0"/>
    <w:rsid w:val="00011B2E"/>
    <w:rsid w:val="00012688"/>
    <w:rsid w:val="00012928"/>
    <w:rsid w:val="00014C11"/>
    <w:rsid w:val="00015204"/>
    <w:rsid w:val="00015552"/>
    <w:rsid w:val="00015A99"/>
    <w:rsid w:val="0001744A"/>
    <w:rsid w:val="00017BA9"/>
    <w:rsid w:val="00017D14"/>
    <w:rsid w:val="0002053D"/>
    <w:rsid w:val="00020630"/>
    <w:rsid w:val="000215E1"/>
    <w:rsid w:val="000218DF"/>
    <w:rsid w:val="00021B3D"/>
    <w:rsid w:val="00021BF3"/>
    <w:rsid w:val="00022471"/>
    <w:rsid w:val="0002378F"/>
    <w:rsid w:val="00023EF8"/>
    <w:rsid w:val="00024B2E"/>
    <w:rsid w:val="000251B1"/>
    <w:rsid w:val="00026270"/>
    <w:rsid w:val="00026386"/>
    <w:rsid w:val="00026B3D"/>
    <w:rsid w:val="00026D56"/>
    <w:rsid w:val="000302A7"/>
    <w:rsid w:val="00030BC8"/>
    <w:rsid w:val="00030E75"/>
    <w:rsid w:val="00031006"/>
    <w:rsid w:val="00031184"/>
    <w:rsid w:val="00032B32"/>
    <w:rsid w:val="00032EAC"/>
    <w:rsid w:val="00033341"/>
    <w:rsid w:val="00033480"/>
    <w:rsid w:val="00033F3B"/>
    <w:rsid w:val="00034E43"/>
    <w:rsid w:val="00036387"/>
    <w:rsid w:val="0003671E"/>
    <w:rsid w:val="0003701D"/>
    <w:rsid w:val="000373C7"/>
    <w:rsid w:val="00040350"/>
    <w:rsid w:val="00040D80"/>
    <w:rsid w:val="00040E48"/>
    <w:rsid w:val="00040F30"/>
    <w:rsid w:val="0004153E"/>
    <w:rsid w:val="0004164B"/>
    <w:rsid w:val="00042252"/>
    <w:rsid w:val="00042B5C"/>
    <w:rsid w:val="00042D17"/>
    <w:rsid w:val="00042E60"/>
    <w:rsid w:val="0004321E"/>
    <w:rsid w:val="0004341D"/>
    <w:rsid w:val="00043958"/>
    <w:rsid w:val="00043BAB"/>
    <w:rsid w:val="00043D2D"/>
    <w:rsid w:val="0004437E"/>
    <w:rsid w:val="000457DE"/>
    <w:rsid w:val="000459EA"/>
    <w:rsid w:val="00046028"/>
    <w:rsid w:val="0004679A"/>
    <w:rsid w:val="00046AA6"/>
    <w:rsid w:val="00046B65"/>
    <w:rsid w:val="00046D0D"/>
    <w:rsid w:val="0004722D"/>
    <w:rsid w:val="000473E0"/>
    <w:rsid w:val="00047401"/>
    <w:rsid w:val="00047D49"/>
    <w:rsid w:val="00047E1A"/>
    <w:rsid w:val="0005016D"/>
    <w:rsid w:val="00051705"/>
    <w:rsid w:val="00051BA2"/>
    <w:rsid w:val="000526B0"/>
    <w:rsid w:val="00052C26"/>
    <w:rsid w:val="00052C3F"/>
    <w:rsid w:val="00053DC8"/>
    <w:rsid w:val="00054002"/>
    <w:rsid w:val="00054139"/>
    <w:rsid w:val="000551FA"/>
    <w:rsid w:val="00055317"/>
    <w:rsid w:val="000563C3"/>
    <w:rsid w:val="00056663"/>
    <w:rsid w:val="0005789B"/>
    <w:rsid w:val="00057C93"/>
    <w:rsid w:val="0006045D"/>
    <w:rsid w:val="000604AA"/>
    <w:rsid w:val="0006142D"/>
    <w:rsid w:val="00061811"/>
    <w:rsid w:val="000631CD"/>
    <w:rsid w:val="00063BB7"/>
    <w:rsid w:val="0006467A"/>
    <w:rsid w:val="00064B56"/>
    <w:rsid w:val="00064FAB"/>
    <w:rsid w:val="0006501C"/>
    <w:rsid w:val="00065212"/>
    <w:rsid w:val="00065F53"/>
    <w:rsid w:val="00070306"/>
    <w:rsid w:val="0007073D"/>
    <w:rsid w:val="00071106"/>
    <w:rsid w:val="0007147B"/>
    <w:rsid w:val="0007195D"/>
    <w:rsid w:val="00071D35"/>
    <w:rsid w:val="00071E11"/>
    <w:rsid w:val="00072291"/>
    <w:rsid w:val="000722D4"/>
    <w:rsid w:val="00072775"/>
    <w:rsid w:val="00072F4C"/>
    <w:rsid w:val="00073870"/>
    <w:rsid w:val="0007392C"/>
    <w:rsid w:val="00073B76"/>
    <w:rsid w:val="000742D2"/>
    <w:rsid w:val="00074C3F"/>
    <w:rsid w:val="00075338"/>
    <w:rsid w:val="000758E0"/>
    <w:rsid w:val="0007629F"/>
    <w:rsid w:val="00076454"/>
    <w:rsid w:val="00076BD0"/>
    <w:rsid w:val="00076FD9"/>
    <w:rsid w:val="00080278"/>
    <w:rsid w:val="000804AA"/>
    <w:rsid w:val="00080CE6"/>
    <w:rsid w:val="00080F4A"/>
    <w:rsid w:val="00081A9E"/>
    <w:rsid w:val="00082215"/>
    <w:rsid w:val="000826DB"/>
    <w:rsid w:val="00082EE7"/>
    <w:rsid w:val="00084419"/>
    <w:rsid w:val="0008444E"/>
    <w:rsid w:val="0008587C"/>
    <w:rsid w:val="00085D40"/>
    <w:rsid w:val="00086542"/>
    <w:rsid w:val="00086B3D"/>
    <w:rsid w:val="000874D4"/>
    <w:rsid w:val="000874F6"/>
    <w:rsid w:val="0008788F"/>
    <w:rsid w:val="000905E7"/>
    <w:rsid w:val="00090857"/>
    <w:rsid w:val="00091418"/>
    <w:rsid w:val="00091ED7"/>
    <w:rsid w:val="00092FDE"/>
    <w:rsid w:val="000931CB"/>
    <w:rsid w:val="00093762"/>
    <w:rsid w:val="00093AD5"/>
    <w:rsid w:val="00094813"/>
    <w:rsid w:val="00094BD8"/>
    <w:rsid w:val="0009509F"/>
    <w:rsid w:val="00095128"/>
    <w:rsid w:val="000955B1"/>
    <w:rsid w:val="00095649"/>
    <w:rsid w:val="00095A0F"/>
    <w:rsid w:val="000961F8"/>
    <w:rsid w:val="00096299"/>
    <w:rsid w:val="0009690B"/>
    <w:rsid w:val="00096D81"/>
    <w:rsid w:val="00096F84"/>
    <w:rsid w:val="000972F1"/>
    <w:rsid w:val="00097C06"/>
    <w:rsid w:val="000A19FA"/>
    <w:rsid w:val="000A1C04"/>
    <w:rsid w:val="000A221B"/>
    <w:rsid w:val="000A3057"/>
    <w:rsid w:val="000A30D2"/>
    <w:rsid w:val="000A3503"/>
    <w:rsid w:val="000A35E8"/>
    <w:rsid w:val="000A3F8C"/>
    <w:rsid w:val="000A55BA"/>
    <w:rsid w:val="000A5690"/>
    <w:rsid w:val="000A5916"/>
    <w:rsid w:val="000B0465"/>
    <w:rsid w:val="000B0AF0"/>
    <w:rsid w:val="000B129F"/>
    <w:rsid w:val="000B1304"/>
    <w:rsid w:val="000B19AF"/>
    <w:rsid w:val="000B2728"/>
    <w:rsid w:val="000B3063"/>
    <w:rsid w:val="000B3E3D"/>
    <w:rsid w:val="000B5055"/>
    <w:rsid w:val="000B568F"/>
    <w:rsid w:val="000B5A02"/>
    <w:rsid w:val="000B5E1A"/>
    <w:rsid w:val="000B68C5"/>
    <w:rsid w:val="000B73F1"/>
    <w:rsid w:val="000B7A67"/>
    <w:rsid w:val="000B7C48"/>
    <w:rsid w:val="000C0197"/>
    <w:rsid w:val="000C01E2"/>
    <w:rsid w:val="000C04CE"/>
    <w:rsid w:val="000C1CF2"/>
    <w:rsid w:val="000C2378"/>
    <w:rsid w:val="000C23E2"/>
    <w:rsid w:val="000C33D8"/>
    <w:rsid w:val="000C40D4"/>
    <w:rsid w:val="000C4333"/>
    <w:rsid w:val="000C4398"/>
    <w:rsid w:val="000C4666"/>
    <w:rsid w:val="000C4C83"/>
    <w:rsid w:val="000C5D27"/>
    <w:rsid w:val="000C60E7"/>
    <w:rsid w:val="000C6C17"/>
    <w:rsid w:val="000C6F08"/>
    <w:rsid w:val="000C72A8"/>
    <w:rsid w:val="000C7564"/>
    <w:rsid w:val="000C77EA"/>
    <w:rsid w:val="000C7EE7"/>
    <w:rsid w:val="000D0135"/>
    <w:rsid w:val="000D0595"/>
    <w:rsid w:val="000D0740"/>
    <w:rsid w:val="000D0B8D"/>
    <w:rsid w:val="000D18E5"/>
    <w:rsid w:val="000D1B84"/>
    <w:rsid w:val="000D2399"/>
    <w:rsid w:val="000D25A9"/>
    <w:rsid w:val="000D26E7"/>
    <w:rsid w:val="000D2C36"/>
    <w:rsid w:val="000D344C"/>
    <w:rsid w:val="000D35EA"/>
    <w:rsid w:val="000D4166"/>
    <w:rsid w:val="000D4318"/>
    <w:rsid w:val="000D431C"/>
    <w:rsid w:val="000D431D"/>
    <w:rsid w:val="000D4352"/>
    <w:rsid w:val="000D44CB"/>
    <w:rsid w:val="000D4619"/>
    <w:rsid w:val="000D4914"/>
    <w:rsid w:val="000D4B47"/>
    <w:rsid w:val="000D4CEB"/>
    <w:rsid w:val="000D4E51"/>
    <w:rsid w:val="000D5CDE"/>
    <w:rsid w:val="000D6790"/>
    <w:rsid w:val="000D6EFA"/>
    <w:rsid w:val="000D74A6"/>
    <w:rsid w:val="000D7711"/>
    <w:rsid w:val="000D788B"/>
    <w:rsid w:val="000D7A5A"/>
    <w:rsid w:val="000D7CAA"/>
    <w:rsid w:val="000E0140"/>
    <w:rsid w:val="000E1BB6"/>
    <w:rsid w:val="000E2990"/>
    <w:rsid w:val="000E32FA"/>
    <w:rsid w:val="000E3B26"/>
    <w:rsid w:val="000E3F28"/>
    <w:rsid w:val="000E4ACB"/>
    <w:rsid w:val="000E5431"/>
    <w:rsid w:val="000E6060"/>
    <w:rsid w:val="000E66A6"/>
    <w:rsid w:val="000E6D4D"/>
    <w:rsid w:val="000E7CEA"/>
    <w:rsid w:val="000E7D49"/>
    <w:rsid w:val="000E7D82"/>
    <w:rsid w:val="000F004A"/>
    <w:rsid w:val="000F1520"/>
    <w:rsid w:val="000F193F"/>
    <w:rsid w:val="000F1B4C"/>
    <w:rsid w:val="000F2170"/>
    <w:rsid w:val="000F3D41"/>
    <w:rsid w:val="000F406B"/>
    <w:rsid w:val="000F4693"/>
    <w:rsid w:val="000F4BE1"/>
    <w:rsid w:val="000F5030"/>
    <w:rsid w:val="000F54D6"/>
    <w:rsid w:val="000F5C05"/>
    <w:rsid w:val="000F5C0A"/>
    <w:rsid w:val="000F61A7"/>
    <w:rsid w:val="000F693C"/>
    <w:rsid w:val="000F6B02"/>
    <w:rsid w:val="000F7062"/>
    <w:rsid w:val="000F791A"/>
    <w:rsid w:val="000F7999"/>
    <w:rsid w:val="000F7F27"/>
    <w:rsid w:val="001003B4"/>
    <w:rsid w:val="00100517"/>
    <w:rsid w:val="00100B1E"/>
    <w:rsid w:val="00100CFE"/>
    <w:rsid w:val="00101051"/>
    <w:rsid w:val="001011B7"/>
    <w:rsid w:val="00101868"/>
    <w:rsid w:val="00102615"/>
    <w:rsid w:val="00102DE1"/>
    <w:rsid w:val="001036E4"/>
    <w:rsid w:val="00104076"/>
    <w:rsid w:val="0010595B"/>
    <w:rsid w:val="001059B5"/>
    <w:rsid w:val="00105CA5"/>
    <w:rsid w:val="00106ED5"/>
    <w:rsid w:val="00107110"/>
    <w:rsid w:val="0010711F"/>
    <w:rsid w:val="001072DD"/>
    <w:rsid w:val="00107370"/>
    <w:rsid w:val="00107EAB"/>
    <w:rsid w:val="001106BD"/>
    <w:rsid w:val="0011109E"/>
    <w:rsid w:val="00111D84"/>
    <w:rsid w:val="00111ED2"/>
    <w:rsid w:val="00113878"/>
    <w:rsid w:val="001147B4"/>
    <w:rsid w:val="001150DE"/>
    <w:rsid w:val="00115196"/>
    <w:rsid w:val="0011695A"/>
    <w:rsid w:val="00116A3D"/>
    <w:rsid w:val="00116B3A"/>
    <w:rsid w:val="00116F23"/>
    <w:rsid w:val="00116F78"/>
    <w:rsid w:val="001175A0"/>
    <w:rsid w:val="00117957"/>
    <w:rsid w:val="00120533"/>
    <w:rsid w:val="00121094"/>
    <w:rsid w:val="001211EC"/>
    <w:rsid w:val="00121A6D"/>
    <w:rsid w:val="001230FC"/>
    <w:rsid w:val="0012379C"/>
    <w:rsid w:val="00123C7F"/>
    <w:rsid w:val="0012461F"/>
    <w:rsid w:val="0012500E"/>
    <w:rsid w:val="00125838"/>
    <w:rsid w:val="00125954"/>
    <w:rsid w:val="0012659C"/>
    <w:rsid w:val="00130B42"/>
    <w:rsid w:val="001316CB"/>
    <w:rsid w:val="00131928"/>
    <w:rsid w:val="00131FEB"/>
    <w:rsid w:val="00132BC8"/>
    <w:rsid w:val="0013330F"/>
    <w:rsid w:val="00133A50"/>
    <w:rsid w:val="00133C78"/>
    <w:rsid w:val="00134013"/>
    <w:rsid w:val="0013407E"/>
    <w:rsid w:val="00134099"/>
    <w:rsid w:val="001340CA"/>
    <w:rsid w:val="00134EE6"/>
    <w:rsid w:val="00135079"/>
    <w:rsid w:val="001352A8"/>
    <w:rsid w:val="001354A9"/>
    <w:rsid w:val="00135AEA"/>
    <w:rsid w:val="00135FD1"/>
    <w:rsid w:val="0013695F"/>
    <w:rsid w:val="00137796"/>
    <w:rsid w:val="001378D3"/>
    <w:rsid w:val="00137C44"/>
    <w:rsid w:val="0014080A"/>
    <w:rsid w:val="001413A8"/>
    <w:rsid w:val="001416E2"/>
    <w:rsid w:val="001419FB"/>
    <w:rsid w:val="00141AAB"/>
    <w:rsid w:val="001422AA"/>
    <w:rsid w:val="001424CE"/>
    <w:rsid w:val="0014264C"/>
    <w:rsid w:val="001435CC"/>
    <w:rsid w:val="0014380D"/>
    <w:rsid w:val="00143ADD"/>
    <w:rsid w:val="00143E3D"/>
    <w:rsid w:val="0014457D"/>
    <w:rsid w:val="001447B1"/>
    <w:rsid w:val="00144E10"/>
    <w:rsid w:val="00144F6D"/>
    <w:rsid w:val="00145070"/>
    <w:rsid w:val="001452CE"/>
    <w:rsid w:val="00145950"/>
    <w:rsid w:val="00146489"/>
    <w:rsid w:val="00146A54"/>
    <w:rsid w:val="00146E80"/>
    <w:rsid w:val="00146ECA"/>
    <w:rsid w:val="00146F9F"/>
    <w:rsid w:val="0014712E"/>
    <w:rsid w:val="001478C0"/>
    <w:rsid w:val="00147FFE"/>
    <w:rsid w:val="001502D0"/>
    <w:rsid w:val="0015048C"/>
    <w:rsid w:val="001504D6"/>
    <w:rsid w:val="00151156"/>
    <w:rsid w:val="0015129F"/>
    <w:rsid w:val="001512D3"/>
    <w:rsid w:val="001515ED"/>
    <w:rsid w:val="0015168C"/>
    <w:rsid w:val="00151716"/>
    <w:rsid w:val="00151FB2"/>
    <w:rsid w:val="0015224A"/>
    <w:rsid w:val="001524E8"/>
    <w:rsid w:val="00152CAE"/>
    <w:rsid w:val="00153A60"/>
    <w:rsid w:val="00154415"/>
    <w:rsid w:val="00155B4D"/>
    <w:rsid w:val="001566EB"/>
    <w:rsid w:val="001602C6"/>
    <w:rsid w:val="00160415"/>
    <w:rsid w:val="0016110D"/>
    <w:rsid w:val="00161343"/>
    <w:rsid w:val="001617C3"/>
    <w:rsid w:val="00161CA5"/>
    <w:rsid w:val="00161F39"/>
    <w:rsid w:val="0016238C"/>
    <w:rsid w:val="0016244F"/>
    <w:rsid w:val="00162B68"/>
    <w:rsid w:val="00162D35"/>
    <w:rsid w:val="00162D7A"/>
    <w:rsid w:val="00162D97"/>
    <w:rsid w:val="00163527"/>
    <w:rsid w:val="00163D7A"/>
    <w:rsid w:val="00164019"/>
    <w:rsid w:val="0016447F"/>
    <w:rsid w:val="00164489"/>
    <w:rsid w:val="00164BC3"/>
    <w:rsid w:val="00165129"/>
    <w:rsid w:val="00166667"/>
    <w:rsid w:val="00166D08"/>
    <w:rsid w:val="00167292"/>
    <w:rsid w:val="0016750F"/>
    <w:rsid w:val="00167F20"/>
    <w:rsid w:val="0017042D"/>
    <w:rsid w:val="001706CA"/>
    <w:rsid w:val="00170FE8"/>
    <w:rsid w:val="001714D0"/>
    <w:rsid w:val="00171550"/>
    <w:rsid w:val="001717C2"/>
    <w:rsid w:val="001719D7"/>
    <w:rsid w:val="00172072"/>
    <w:rsid w:val="0017364C"/>
    <w:rsid w:val="0017396A"/>
    <w:rsid w:val="00173A4F"/>
    <w:rsid w:val="0017418A"/>
    <w:rsid w:val="00174A2E"/>
    <w:rsid w:val="00174A4B"/>
    <w:rsid w:val="001751BC"/>
    <w:rsid w:val="00175EE9"/>
    <w:rsid w:val="00176422"/>
    <w:rsid w:val="00176A8D"/>
    <w:rsid w:val="00176AFD"/>
    <w:rsid w:val="00176CF6"/>
    <w:rsid w:val="0017798B"/>
    <w:rsid w:val="00180402"/>
    <w:rsid w:val="0018045A"/>
    <w:rsid w:val="0018087D"/>
    <w:rsid w:val="00180896"/>
    <w:rsid w:val="00180C40"/>
    <w:rsid w:val="00181187"/>
    <w:rsid w:val="0018125B"/>
    <w:rsid w:val="001813C5"/>
    <w:rsid w:val="001813FF"/>
    <w:rsid w:val="00181902"/>
    <w:rsid w:val="00181E84"/>
    <w:rsid w:val="0018238A"/>
    <w:rsid w:val="001824AB"/>
    <w:rsid w:val="001836E0"/>
    <w:rsid w:val="0018374D"/>
    <w:rsid w:val="0018411F"/>
    <w:rsid w:val="0018416D"/>
    <w:rsid w:val="00184964"/>
    <w:rsid w:val="0018531E"/>
    <w:rsid w:val="0018540A"/>
    <w:rsid w:val="00185757"/>
    <w:rsid w:val="001859C9"/>
    <w:rsid w:val="00187409"/>
    <w:rsid w:val="00187D3B"/>
    <w:rsid w:val="001901D9"/>
    <w:rsid w:val="00190448"/>
    <w:rsid w:val="0019079B"/>
    <w:rsid w:val="00190B91"/>
    <w:rsid w:val="00191646"/>
    <w:rsid w:val="00191E5C"/>
    <w:rsid w:val="0019218B"/>
    <w:rsid w:val="00192E33"/>
    <w:rsid w:val="00193826"/>
    <w:rsid w:val="00194B63"/>
    <w:rsid w:val="00194CEE"/>
    <w:rsid w:val="00195D44"/>
    <w:rsid w:val="00195F88"/>
    <w:rsid w:val="00196395"/>
    <w:rsid w:val="0019706B"/>
    <w:rsid w:val="001974CF"/>
    <w:rsid w:val="001A03C3"/>
    <w:rsid w:val="001A07C3"/>
    <w:rsid w:val="001A0BCF"/>
    <w:rsid w:val="001A0C60"/>
    <w:rsid w:val="001A0CDF"/>
    <w:rsid w:val="001A1281"/>
    <w:rsid w:val="001A14C3"/>
    <w:rsid w:val="001A1550"/>
    <w:rsid w:val="001A19AB"/>
    <w:rsid w:val="001A329B"/>
    <w:rsid w:val="001A3FC6"/>
    <w:rsid w:val="001A4567"/>
    <w:rsid w:val="001A4798"/>
    <w:rsid w:val="001A47A4"/>
    <w:rsid w:val="001A4A77"/>
    <w:rsid w:val="001A4CC8"/>
    <w:rsid w:val="001A5547"/>
    <w:rsid w:val="001A55A2"/>
    <w:rsid w:val="001A563F"/>
    <w:rsid w:val="001A5E2B"/>
    <w:rsid w:val="001A6519"/>
    <w:rsid w:val="001A6C81"/>
    <w:rsid w:val="001A73ED"/>
    <w:rsid w:val="001A77B3"/>
    <w:rsid w:val="001A797B"/>
    <w:rsid w:val="001B0502"/>
    <w:rsid w:val="001B09FD"/>
    <w:rsid w:val="001B123A"/>
    <w:rsid w:val="001B1767"/>
    <w:rsid w:val="001B1E01"/>
    <w:rsid w:val="001B2F51"/>
    <w:rsid w:val="001B31ED"/>
    <w:rsid w:val="001B35DB"/>
    <w:rsid w:val="001B3673"/>
    <w:rsid w:val="001B3857"/>
    <w:rsid w:val="001B3D10"/>
    <w:rsid w:val="001B5443"/>
    <w:rsid w:val="001B61E2"/>
    <w:rsid w:val="001B6D63"/>
    <w:rsid w:val="001C0B61"/>
    <w:rsid w:val="001C0F3A"/>
    <w:rsid w:val="001C0FD2"/>
    <w:rsid w:val="001C2817"/>
    <w:rsid w:val="001C2D37"/>
    <w:rsid w:val="001C3F7D"/>
    <w:rsid w:val="001C5450"/>
    <w:rsid w:val="001C54AC"/>
    <w:rsid w:val="001C5E9E"/>
    <w:rsid w:val="001C6157"/>
    <w:rsid w:val="001C6363"/>
    <w:rsid w:val="001C7663"/>
    <w:rsid w:val="001C76D2"/>
    <w:rsid w:val="001C77F5"/>
    <w:rsid w:val="001C78B2"/>
    <w:rsid w:val="001C7BAA"/>
    <w:rsid w:val="001C7CAE"/>
    <w:rsid w:val="001C7FEA"/>
    <w:rsid w:val="001D091B"/>
    <w:rsid w:val="001D0EB5"/>
    <w:rsid w:val="001D0FE2"/>
    <w:rsid w:val="001D12E9"/>
    <w:rsid w:val="001D1A11"/>
    <w:rsid w:val="001D1F00"/>
    <w:rsid w:val="001D2585"/>
    <w:rsid w:val="001D3844"/>
    <w:rsid w:val="001D4BF7"/>
    <w:rsid w:val="001D52DC"/>
    <w:rsid w:val="001D5D96"/>
    <w:rsid w:val="001D6718"/>
    <w:rsid w:val="001D6BA4"/>
    <w:rsid w:val="001D7195"/>
    <w:rsid w:val="001D7350"/>
    <w:rsid w:val="001D73B0"/>
    <w:rsid w:val="001D745E"/>
    <w:rsid w:val="001D7D5B"/>
    <w:rsid w:val="001E01B6"/>
    <w:rsid w:val="001E1232"/>
    <w:rsid w:val="001E1819"/>
    <w:rsid w:val="001E2371"/>
    <w:rsid w:val="001E23A4"/>
    <w:rsid w:val="001E254A"/>
    <w:rsid w:val="001E2AD0"/>
    <w:rsid w:val="001E345D"/>
    <w:rsid w:val="001E5BD6"/>
    <w:rsid w:val="001E6451"/>
    <w:rsid w:val="001E6654"/>
    <w:rsid w:val="001E66BD"/>
    <w:rsid w:val="001E6B37"/>
    <w:rsid w:val="001E7526"/>
    <w:rsid w:val="001E7D6C"/>
    <w:rsid w:val="001F0535"/>
    <w:rsid w:val="001F082E"/>
    <w:rsid w:val="001F09FA"/>
    <w:rsid w:val="001F0BD2"/>
    <w:rsid w:val="001F0EF2"/>
    <w:rsid w:val="001F1559"/>
    <w:rsid w:val="001F1713"/>
    <w:rsid w:val="001F2C51"/>
    <w:rsid w:val="001F4046"/>
    <w:rsid w:val="001F40C9"/>
    <w:rsid w:val="001F4757"/>
    <w:rsid w:val="001F4D8E"/>
    <w:rsid w:val="001F5503"/>
    <w:rsid w:val="001F5859"/>
    <w:rsid w:val="001F593E"/>
    <w:rsid w:val="001F5D2F"/>
    <w:rsid w:val="001F5E01"/>
    <w:rsid w:val="001F6F57"/>
    <w:rsid w:val="001F7A6F"/>
    <w:rsid w:val="001F7FF0"/>
    <w:rsid w:val="0020017E"/>
    <w:rsid w:val="002010B0"/>
    <w:rsid w:val="00201CF9"/>
    <w:rsid w:val="0020229E"/>
    <w:rsid w:val="002024D8"/>
    <w:rsid w:val="00202B31"/>
    <w:rsid w:val="00202DD3"/>
    <w:rsid w:val="00204283"/>
    <w:rsid w:val="002045A5"/>
    <w:rsid w:val="00204950"/>
    <w:rsid w:val="00205075"/>
    <w:rsid w:val="002051D9"/>
    <w:rsid w:val="00205B00"/>
    <w:rsid w:val="00205EFC"/>
    <w:rsid w:val="00206EBB"/>
    <w:rsid w:val="00207B09"/>
    <w:rsid w:val="00207DFB"/>
    <w:rsid w:val="00210085"/>
    <w:rsid w:val="00210BAD"/>
    <w:rsid w:val="002117B0"/>
    <w:rsid w:val="00212E55"/>
    <w:rsid w:val="00213DD0"/>
    <w:rsid w:val="00214D96"/>
    <w:rsid w:val="00214E50"/>
    <w:rsid w:val="00215904"/>
    <w:rsid w:val="00215DF8"/>
    <w:rsid w:val="00215F4B"/>
    <w:rsid w:val="002168A6"/>
    <w:rsid w:val="00217312"/>
    <w:rsid w:val="00217711"/>
    <w:rsid w:val="002178DC"/>
    <w:rsid w:val="00217AE5"/>
    <w:rsid w:val="00217FAC"/>
    <w:rsid w:val="002208FC"/>
    <w:rsid w:val="002210C4"/>
    <w:rsid w:val="0022175A"/>
    <w:rsid w:val="00221BA6"/>
    <w:rsid w:val="0022242D"/>
    <w:rsid w:val="00222544"/>
    <w:rsid w:val="00222C71"/>
    <w:rsid w:val="0022305A"/>
    <w:rsid w:val="00223F85"/>
    <w:rsid w:val="0022403D"/>
    <w:rsid w:val="00224180"/>
    <w:rsid w:val="00224B04"/>
    <w:rsid w:val="00224B7B"/>
    <w:rsid w:val="00224DD5"/>
    <w:rsid w:val="002260F5"/>
    <w:rsid w:val="002263E8"/>
    <w:rsid w:val="0022657C"/>
    <w:rsid w:val="00226A70"/>
    <w:rsid w:val="00226BDC"/>
    <w:rsid w:val="00227160"/>
    <w:rsid w:val="0022741E"/>
    <w:rsid w:val="00227668"/>
    <w:rsid w:val="0023095C"/>
    <w:rsid w:val="00230D9A"/>
    <w:rsid w:val="00231E4D"/>
    <w:rsid w:val="0023249C"/>
    <w:rsid w:val="00232A1D"/>
    <w:rsid w:val="00232C4F"/>
    <w:rsid w:val="002332BE"/>
    <w:rsid w:val="00233F29"/>
    <w:rsid w:val="0023438F"/>
    <w:rsid w:val="002353D9"/>
    <w:rsid w:val="00235CB1"/>
    <w:rsid w:val="00235EDF"/>
    <w:rsid w:val="0023711A"/>
    <w:rsid w:val="002372A2"/>
    <w:rsid w:val="002377D9"/>
    <w:rsid w:val="00237E01"/>
    <w:rsid w:val="00240355"/>
    <w:rsid w:val="00240845"/>
    <w:rsid w:val="00240BB0"/>
    <w:rsid w:val="00240F52"/>
    <w:rsid w:val="00240FD4"/>
    <w:rsid w:val="0024169C"/>
    <w:rsid w:val="002416D4"/>
    <w:rsid w:val="00241F88"/>
    <w:rsid w:val="002420E3"/>
    <w:rsid w:val="00242519"/>
    <w:rsid w:val="002427C2"/>
    <w:rsid w:val="0024341D"/>
    <w:rsid w:val="00243FE1"/>
    <w:rsid w:val="0024455C"/>
    <w:rsid w:val="002455C8"/>
    <w:rsid w:val="002456A7"/>
    <w:rsid w:val="002459BB"/>
    <w:rsid w:val="00246268"/>
    <w:rsid w:val="00246359"/>
    <w:rsid w:val="00246378"/>
    <w:rsid w:val="00246CAF"/>
    <w:rsid w:val="0025017B"/>
    <w:rsid w:val="002501C2"/>
    <w:rsid w:val="0025060D"/>
    <w:rsid w:val="00251033"/>
    <w:rsid w:val="002519BA"/>
    <w:rsid w:val="00251EB4"/>
    <w:rsid w:val="0025232F"/>
    <w:rsid w:val="00252EB1"/>
    <w:rsid w:val="002539FA"/>
    <w:rsid w:val="002544B3"/>
    <w:rsid w:val="00254713"/>
    <w:rsid w:val="002547CE"/>
    <w:rsid w:val="00255099"/>
    <w:rsid w:val="0025515A"/>
    <w:rsid w:val="00255539"/>
    <w:rsid w:val="00255DD2"/>
    <w:rsid w:val="00255DEC"/>
    <w:rsid w:val="00260086"/>
    <w:rsid w:val="002603B7"/>
    <w:rsid w:val="00260995"/>
    <w:rsid w:val="00260E6F"/>
    <w:rsid w:val="00261EC5"/>
    <w:rsid w:val="0026252B"/>
    <w:rsid w:val="00262AE8"/>
    <w:rsid w:val="00262D57"/>
    <w:rsid w:val="0026311F"/>
    <w:rsid w:val="00263B88"/>
    <w:rsid w:val="00263D3C"/>
    <w:rsid w:val="00264198"/>
    <w:rsid w:val="00264FDD"/>
    <w:rsid w:val="00265885"/>
    <w:rsid w:val="00265DE3"/>
    <w:rsid w:val="00266815"/>
    <w:rsid w:val="00266ABB"/>
    <w:rsid w:val="00266C80"/>
    <w:rsid w:val="00266CDA"/>
    <w:rsid w:val="002672C5"/>
    <w:rsid w:val="00267623"/>
    <w:rsid w:val="00267970"/>
    <w:rsid w:val="00267D2C"/>
    <w:rsid w:val="00270870"/>
    <w:rsid w:val="002730C8"/>
    <w:rsid w:val="00273BD5"/>
    <w:rsid w:val="0027425D"/>
    <w:rsid w:val="0027453F"/>
    <w:rsid w:val="00274C95"/>
    <w:rsid w:val="0027514C"/>
    <w:rsid w:val="0027565E"/>
    <w:rsid w:val="0027595D"/>
    <w:rsid w:val="002761FD"/>
    <w:rsid w:val="002765AF"/>
    <w:rsid w:val="00276777"/>
    <w:rsid w:val="00277295"/>
    <w:rsid w:val="00277568"/>
    <w:rsid w:val="002779CD"/>
    <w:rsid w:val="002800E4"/>
    <w:rsid w:val="00280842"/>
    <w:rsid w:val="0028252F"/>
    <w:rsid w:val="002837D9"/>
    <w:rsid w:val="00283EB0"/>
    <w:rsid w:val="002851A1"/>
    <w:rsid w:val="0028584E"/>
    <w:rsid w:val="0028599C"/>
    <w:rsid w:val="00285A51"/>
    <w:rsid w:val="00285B00"/>
    <w:rsid w:val="00285D74"/>
    <w:rsid w:val="0028652C"/>
    <w:rsid w:val="0028690A"/>
    <w:rsid w:val="00286D99"/>
    <w:rsid w:val="0028733F"/>
    <w:rsid w:val="00287366"/>
    <w:rsid w:val="0029014E"/>
    <w:rsid w:val="002902AC"/>
    <w:rsid w:val="0029061C"/>
    <w:rsid w:val="00292A49"/>
    <w:rsid w:val="00292A4F"/>
    <w:rsid w:val="00292C89"/>
    <w:rsid w:val="00292F08"/>
    <w:rsid w:val="0029375A"/>
    <w:rsid w:val="002937FC"/>
    <w:rsid w:val="00293E3B"/>
    <w:rsid w:val="002944C7"/>
    <w:rsid w:val="00294E75"/>
    <w:rsid w:val="0029554C"/>
    <w:rsid w:val="00295777"/>
    <w:rsid w:val="0029655C"/>
    <w:rsid w:val="00296CF4"/>
    <w:rsid w:val="00297423"/>
    <w:rsid w:val="00297559"/>
    <w:rsid w:val="00297AD9"/>
    <w:rsid w:val="002A0B46"/>
    <w:rsid w:val="002A0CD3"/>
    <w:rsid w:val="002A1301"/>
    <w:rsid w:val="002A13DC"/>
    <w:rsid w:val="002A1529"/>
    <w:rsid w:val="002A1C06"/>
    <w:rsid w:val="002A1E05"/>
    <w:rsid w:val="002A203A"/>
    <w:rsid w:val="002A2054"/>
    <w:rsid w:val="002A214E"/>
    <w:rsid w:val="002A2520"/>
    <w:rsid w:val="002A3E4F"/>
    <w:rsid w:val="002A4D40"/>
    <w:rsid w:val="002A51A9"/>
    <w:rsid w:val="002A5B08"/>
    <w:rsid w:val="002A6037"/>
    <w:rsid w:val="002A606C"/>
    <w:rsid w:val="002A685B"/>
    <w:rsid w:val="002A6CC8"/>
    <w:rsid w:val="002A6E59"/>
    <w:rsid w:val="002A6F8F"/>
    <w:rsid w:val="002A7637"/>
    <w:rsid w:val="002A79DD"/>
    <w:rsid w:val="002A7DE5"/>
    <w:rsid w:val="002B002E"/>
    <w:rsid w:val="002B0122"/>
    <w:rsid w:val="002B081F"/>
    <w:rsid w:val="002B0870"/>
    <w:rsid w:val="002B0E8B"/>
    <w:rsid w:val="002B0FD7"/>
    <w:rsid w:val="002B10B4"/>
    <w:rsid w:val="002B14CF"/>
    <w:rsid w:val="002B15B7"/>
    <w:rsid w:val="002B1767"/>
    <w:rsid w:val="002B2478"/>
    <w:rsid w:val="002B2B4F"/>
    <w:rsid w:val="002B3BF8"/>
    <w:rsid w:val="002B3EEE"/>
    <w:rsid w:val="002B4315"/>
    <w:rsid w:val="002B48C7"/>
    <w:rsid w:val="002B5441"/>
    <w:rsid w:val="002B55F0"/>
    <w:rsid w:val="002B7A81"/>
    <w:rsid w:val="002C0ABE"/>
    <w:rsid w:val="002C0B56"/>
    <w:rsid w:val="002C0EBA"/>
    <w:rsid w:val="002C11AA"/>
    <w:rsid w:val="002C2054"/>
    <w:rsid w:val="002C256D"/>
    <w:rsid w:val="002C319A"/>
    <w:rsid w:val="002C392B"/>
    <w:rsid w:val="002C3A33"/>
    <w:rsid w:val="002C3CB4"/>
    <w:rsid w:val="002C409B"/>
    <w:rsid w:val="002C46A6"/>
    <w:rsid w:val="002C53AE"/>
    <w:rsid w:val="002C5779"/>
    <w:rsid w:val="002C606C"/>
    <w:rsid w:val="002C64AC"/>
    <w:rsid w:val="002C662C"/>
    <w:rsid w:val="002C663B"/>
    <w:rsid w:val="002C73C3"/>
    <w:rsid w:val="002C7AA3"/>
    <w:rsid w:val="002C7AAC"/>
    <w:rsid w:val="002D0088"/>
    <w:rsid w:val="002D0146"/>
    <w:rsid w:val="002D05CD"/>
    <w:rsid w:val="002D12DC"/>
    <w:rsid w:val="002D1451"/>
    <w:rsid w:val="002D2133"/>
    <w:rsid w:val="002D2173"/>
    <w:rsid w:val="002D248F"/>
    <w:rsid w:val="002D2815"/>
    <w:rsid w:val="002D322B"/>
    <w:rsid w:val="002D34DF"/>
    <w:rsid w:val="002D357A"/>
    <w:rsid w:val="002D3962"/>
    <w:rsid w:val="002D3AA2"/>
    <w:rsid w:val="002D461D"/>
    <w:rsid w:val="002D468B"/>
    <w:rsid w:val="002D47C5"/>
    <w:rsid w:val="002D4A56"/>
    <w:rsid w:val="002D4FA7"/>
    <w:rsid w:val="002D4FFC"/>
    <w:rsid w:val="002D51E7"/>
    <w:rsid w:val="002D539E"/>
    <w:rsid w:val="002D54A3"/>
    <w:rsid w:val="002D5B22"/>
    <w:rsid w:val="002D7645"/>
    <w:rsid w:val="002D79CB"/>
    <w:rsid w:val="002E0598"/>
    <w:rsid w:val="002E07A6"/>
    <w:rsid w:val="002E091A"/>
    <w:rsid w:val="002E1D66"/>
    <w:rsid w:val="002E2407"/>
    <w:rsid w:val="002E28CC"/>
    <w:rsid w:val="002E2C29"/>
    <w:rsid w:val="002E34B5"/>
    <w:rsid w:val="002E3C53"/>
    <w:rsid w:val="002E40B4"/>
    <w:rsid w:val="002E470A"/>
    <w:rsid w:val="002E4B32"/>
    <w:rsid w:val="002E4C0C"/>
    <w:rsid w:val="002E52B5"/>
    <w:rsid w:val="002E573B"/>
    <w:rsid w:val="002E580F"/>
    <w:rsid w:val="002E60D9"/>
    <w:rsid w:val="002E6493"/>
    <w:rsid w:val="002E64DA"/>
    <w:rsid w:val="002E6598"/>
    <w:rsid w:val="002E7302"/>
    <w:rsid w:val="002F0555"/>
    <w:rsid w:val="002F0B4F"/>
    <w:rsid w:val="002F0CDB"/>
    <w:rsid w:val="002F0F16"/>
    <w:rsid w:val="002F1F52"/>
    <w:rsid w:val="002F2268"/>
    <w:rsid w:val="002F25DE"/>
    <w:rsid w:val="002F2ACD"/>
    <w:rsid w:val="002F319A"/>
    <w:rsid w:val="002F3909"/>
    <w:rsid w:val="002F3BE2"/>
    <w:rsid w:val="002F4E8F"/>
    <w:rsid w:val="002F5270"/>
    <w:rsid w:val="002F52E0"/>
    <w:rsid w:val="002F52F1"/>
    <w:rsid w:val="002F53AD"/>
    <w:rsid w:val="002F5BDB"/>
    <w:rsid w:val="002F5CA0"/>
    <w:rsid w:val="002F5EFD"/>
    <w:rsid w:val="002F6494"/>
    <w:rsid w:val="002F6A0A"/>
    <w:rsid w:val="002F7814"/>
    <w:rsid w:val="002F7BD8"/>
    <w:rsid w:val="003000B2"/>
    <w:rsid w:val="003001DD"/>
    <w:rsid w:val="003011BB"/>
    <w:rsid w:val="003016BF"/>
    <w:rsid w:val="003017E4"/>
    <w:rsid w:val="00301D60"/>
    <w:rsid w:val="003024E2"/>
    <w:rsid w:val="00302EF0"/>
    <w:rsid w:val="00303C98"/>
    <w:rsid w:val="00303D58"/>
    <w:rsid w:val="00304221"/>
    <w:rsid w:val="0030426C"/>
    <w:rsid w:val="00304279"/>
    <w:rsid w:val="00304348"/>
    <w:rsid w:val="00304AC4"/>
    <w:rsid w:val="00305196"/>
    <w:rsid w:val="00305716"/>
    <w:rsid w:val="00305959"/>
    <w:rsid w:val="00305FAA"/>
    <w:rsid w:val="0030655B"/>
    <w:rsid w:val="003068A0"/>
    <w:rsid w:val="0030695F"/>
    <w:rsid w:val="003077B6"/>
    <w:rsid w:val="00307890"/>
    <w:rsid w:val="003078C8"/>
    <w:rsid w:val="003105EA"/>
    <w:rsid w:val="0031089F"/>
    <w:rsid w:val="003110B6"/>
    <w:rsid w:val="00311125"/>
    <w:rsid w:val="00311B19"/>
    <w:rsid w:val="00311C6A"/>
    <w:rsid w:val="0031209F"/>
    <w:rsid w:val="00312873"/>
    <w:rsid w:val="00312D50"/>
    <w:rsid w:val="00313639"/>
    <w:rsid w:val="003136E4"/>
    <w:rsid w:val="0031387D"/>
    <w:rsid w:val="00313C48"/>
    <w:rsid w:val="0031478F"/>
    <w:rsid w:val="0031609B"/>
    <w:rsid w:val="00316192"/>
    <w:rsid w:val="00316B08"/>
    <w:rsid w:val="0031721C"/>
    <w:rsid w:val="00317667"/>
    <w:rsid w:val="003179A8"/>
    <w:rsid w:val="00320E61"/>
    <w:rsid w:val="003210EE"/>
    <w:rsid w:val="0032155E"/>
    <w:rsid w:val="0032160E"/>
    <w:rsid w:val="003221BD"/>
    <w:rsid w:val="003226D7"/>
    <w:rsid w:val="0032291C"/>
    <w:rsid w:val="00323235"/>
    <w:rsid w:val="00323680"/>
    <w:rsid w:val="003243E6"/>
    <w:rsid w:val="00324936"/>
    <w:rsid w:val="00324D69"/>
    <w:rsid w:val="00325230"/>
    <w:rsid w:val="00325A2E"/>
    <w:rsid w:val="0032601E"/>
    <w:rsid w:val="00326985"/>
    <w:rsid w:val="00326B58"/>
    <w:rsid w:val="00327813"/>
    <w:rsid w:val="00327A39"/>
    <w:rsid w:val="00327D54"/>
    <w:rsid w:val="00327DA5"/>
    <w:rsid w:val="0033080C"/>
    <w:rsid w:val="00330DB1"/>
    <w:rsid w:val="0033112B"/>
    <w:rsid w:val="003314C2"/>
    <w:rsid w:val="003314D0"/>
    <w:rsid w:val="003314DF"/>
    <w:rsid w:val="00331BCD"/>
    <w:rsid w:val="00331DDB"/>
    <w:rsid w:val="00331EA7"/>
    <w:rsid w:val="00332163"/>
    <w:rsid w:val="00333791"/>
    <w:rsid w:val="00334121"/>
    <w:rsid w:val="00334B6A"/>
    <w:rsid w:val="00334DBA"/>
    <w:rsid w:val="003350A5"/>
    <w:rsid w:val="00335B6E"/>
    <w:rsid w:val="00335CA0"/>
    <w:rsid w:val="003364AC"/>
    <w:rsid w:val="00336785"/>
    <w:rsid w:val="00337463"/>
    <w:rsid w:val="00337F00"/>
    <w:rsid w:val="003401DF"/>
    <w:rsid w:val="003403A3"/>
    <w:rsid w:val="00340735"/>
    <w:rsid w:val="0034119A"/>
    <w:rsid w:val="00341486"/>
    <w:rsid w:val="003415AF"/>
    <w:rsid w:val="003420CC"/>
    <w:rsid w:val="00342268"/>
    <w:rsid w:val="003425E8"/>
    <w:rsid w:val="003431AA"/>
    <w:rsid w:val="00343736"/>
    <w:rsid w:val="00344393"/>
    <w:rsid w:val="00346331"/>
    <w:rsid w:val="0034635B"/>
    <w:rsid w:val="00346780"/>
    <w:rsid w:val="00346789"/>
    <w:rsid w:val="00346930"/>
    <w:rsid w:val="00346F33"/>
    <w:rsid w:val="003474B2"/>
    <w:rsid w:val="0034768E"/>
    <w:rsid w:val="0034799A"/>
    <w:rsid w:val="00347E2F"/>
    <w:rsid w:val="00347F49"/>
    <w:rsid w:val="0035027F"/>
    <w:rsid w:val="00351430"/>
    <w:rsid w:val="00351AD0"/>
    <w:rsid w:val="00352091"/>
    <w:rsid w:val="00352AD9"/>
    <w:rsid w:val="0035336F"/>
    <w:rsid w:val="003540CD"/>
    <w:rsid w:val="00354126"/>
    <w:rsid w:val="00354DD0"/>
    <w:rsid w:val="003550A3"/>
    <w:rsid w:val="003558D0"/>
    <w:rsid w:val="00355F11"/>
    <w:rsid w:val="003563C6"/>
    <w:rsid w:val="00356B69"/>
    <w:rsid w:val="00356C62"/>
    <w:rsid w:val="0035703A"/>
    <w:rsid w:val="0035745F"/>
    <w:rsid w:val="0035785A"/>
    <w:rsid w:val="00360060"/>
    <w:rsid w:val="003602D2"/>
    <w:rsid w:val="003603A8"/>
    <w:rsid w:val="003611FE"/>
    <w:rsid w:val="00361335"/>
    <w:rsid w:val="00361422"/>
    <w:rsid w:val="003616CA"/>
    <w:rsid w:val="003616EA"/>
    <w:rsid w:val="0036176A"/>
    <w:rsid w:val="003619E9"/>
    <w:rsid w:val="003641A3"/>
    <w:rsid w:val="003642AE"/>
    <w:rsid w:val="00365753"/>
    <w:rsid w:val="00365C5A"/>
    <w:rsid w:val="00366CB0"/>
    <w:rsid w:val="00367242"/>
    <w:rsid w:val="0036782A"/>
    <w:rsid w:val="00367938"/>
    <w:rsid w:val="00371381"/>
    <w:rsid w:val="003723E7"/>
    <w:rsid w:val="003724E2"/>
    <w:rsid w:val="0037261E"/>
    <w:rsid w:val="00372A38"/>
    <w:rsid w:val="00372FC6"/>
    <w:rsid w:val="00373739"/>
    <w:rsid w:val="003739E5"/>
    <w:rsid w:val="00373AFC"/>
    <w:rsid w:val="00373B14"/>
    <w:rsid w:val="00373CFC"/>
    <w:rsid w:val="00373D2B"/>
    <w:rsid w:val="003740E4"/>
    <w:rsid w:val="00375F23"/>
    <w:rsid w:val="00376229"/>
    <w:rsid w:val="003764BD"/>
    <w:rsid w:val="00377DE9"/>
    <w:rsid w:val="00380CD1"/>
    <w:rsid w:val="00380FB4"/>
    <w:rsid w:val="00382D87"/>
    <w:rsid w:val="00383180"/>
    <w:rsid w:val="00383247"/>
    <w:rsid w:val="003834C5"/>
    <w:rsid w:val="00383CAE"/>
    <w:rsid w:val="0038408E"/>
    <w:rsid w:val="003840D9"/>
    <w:rsid w:val="00385634"/>
    <w:rsid w:val="003862B7"/>
    <w:rsid w:val="00386331"/>
    <w:rsid w:val="0038669D"/>
    <w:rsid w:val="003867B0"/>
    <w:rsid w:val="00387375"/>
    <w:rsid w:val="0038739F"/>
    <w:rsid w:val="00391837"/>
    <w:rsid w:val="00391863"/>
    <w:rsid w:val="00391A0A"/>
    <w:rsid w:val="00391A28"/>
    <w:rsid w:val="00392727"/>
    <w:rsid w:val="00392E34"/>
    <w:rsid w:val="003939B0"/>
    <w:rsid w:val="00393DF4"/>
    <w:rsid w:val="00394483"/>
    <w:rsid w:val="00394F97"/>
    <w:rsid w:val="00396C50"/>
    <w:rsid w:val="003974DA"/>
    <w:rsid w:val="003975D2"/>
    <w:rsid w:val="00397743"/>
    <w:rsid w:val="003977A2"/>
    <w:rsid w:val="00397A22"/>
    <w:rsid w:val="003A077C"/>
    <w:rsid w:val="003A0AD8"/>
    <w:rsid w:val="003A0FBF"/>
    <w:rsid w:val="003A16E6"/>
    <w:rsid w:val="003A1702"/>
    <w:rsid w:val="003A1927"/>
    <w:rsid w:val="003A1B87"/>
    <w:rsid w:val="003A2FA9"/>
    <w:rsid w:val="003A31BD"/>
    <w:rsid w:val="003A327D"/>
    <w:rsid w:val="003A342F"/>
    <w:rsid w:val="003A3722"/>
    <w:rsid w:val="003A4244"/>
    <w:rsid w:val="003A4324"/>
    <w:rsid w:val="003A48C6"/>
    <w:rsid w:val="003A4C78"/>
    <w:rsid w:val="003A519F"/>
    <w:rsid w:val="003A51C0"/>
    <w:rsid w:val="003A5222"/>
    <w:rsid w:val="003A5D68"/>
    <w:rsid w:val="003A77D4"/>
    <w:rsid w:val="003A7DC1"/>
    <w:rsid w:val="003B012B"/>
    <w:rsid w:val="003B0364"/>
    <w:rsid w:val="003B072E"/>
    <w:rsid w:val="003B1A69"/>
    <w:rsid w:val="003B1CF9"/>
    <w:rsid w:val="003B25A7"/>
    <w:rsid w:val="003B2CC6"/>
    <w:rsid w:val="003B3279"/>
    <w:rsid w:val="003B32D7"/>
    <w:rsid w:val="003B334F"/>
    <w:rsid w:val="003B4C90"/>
    <w:rsid w:val="003B4FB2"/>
    <w:rsid w:val="003B58FD"/>
    <w:rsid w:val="003B5B75"/>
    <w:rsid w:val="003B619F"/>
    <w:rsid w:val="003B6751"/>
    <w:rsid w:val="003B7836"/>
    <w:rsid w:val="003B78D4"/>
    <w:rsid w:val="003C17C0"/>
    <w:rsid w:val="003C1C87"/>
    <w:rsid w:val="003C20FB"/>
    <w:rsid w:val="003C2936"/>
    <w:rsid w:val="003C2BE7"/>
    <w:rsid w:val="003C3ABD"/>
    <w:rsid w:val="003C3F5F"/>
    <w:rsid w:val="003C490B"/>
    <w:rsid w:val="003C5105"/>
    <w:rsid w:val="003C534A"/>
    <w:rsid w:val="003C5419"/>
    <w:rsid w:val="003C655B"/>
    <w:rsid w:val="003C6E6B"/>
    <w:rsid w:val="003C7F11"/>
    <w:rsid w:val="003C7F7D"/>
    <w:rsid w:val="003D032F"/>
    <w:rsid w:val="003D0965"/>
    <w:rsid w:val="003D0A80"/>
    <w:rsid w:val="003D0E89"/>
    <w:rsid w:val="003D2324"/>
    <w:rsid w:val="003D2382"/>
    <w:rsid w:val="003D240D"/>
    <w:rsid w:val="003D290E"/>
    <w:rsid w:val="003D2D34"/>
    <w:rsid w:val="003D2DCF"/>
    <w:rsid w:val="003D3CC9"/>
    <w:rsid w:val="003D4402"/>
    <w:rsid w:val="003D49B4"/>
    <w:rsid w:val="003D4CAC"/>
    <w:rsid w:val="003D4DF1"/>
    <w:rsid w:val="003D5000"/>
    <w:rsid w:val="003D5BB2"/>
    <w:rsid w:val="003D671F"/>
    <w:rsid w:val="003D6C42"/>
    <w:rsid w:val="003D702D"/>
    <w:rsid w:val="003D76E5"/>
    <w:rsid w:val="003D7CFC"/>
    <w:rsid w:val="003E047C"/>
    <w:rsid w:val="003E07C8"/>
    <w:rsid w:val="003E083D"/>
    <w:rsid w:val="003E0942"/>
    <w:rsid w:val="003E0C24"/>
    <w:rsid w:val="003E0D7C"/>
    <w:rsid w:val="003E13A2"/>
    <w:rsid w:val="003E143E"/>
    <w:rsid w:val="003E24FB"/>
    <w:rsid w:val="003E3619"/>
    <w:rsid w:val="003E3D1E"/>
    <w:rsid w:val="003E3DF8"/>
    <w:rsid w:val="003E3F45"/>
    <w:rsid w:val="003E40A6"/>
    <w:rsid w:val="003E4712"/>
    <w:rsid w:val="003E47F2"/>
    <w:rsid w:val="003E5668"/>
    <w:rsid w:val="003E6C2F"/>
    <w:rsid w:val="003E7350"/>
    <w:rsid w:val="003E7946"/>
    <w:rsid w:val="003F0F1C"/>
    <w:rsid w:val="003F14DA"/>
    <w:rsid w:val="003F19FE"/>
    <w:rsid w:val="003F235E"/>
    <w:rsid w:val="003F2385"/>
    <w:rsid w:val="003F2E45"/>
    <w:rsid w:val="003F3066"/>
    <w:rsid w:val="003F30D0"/>
    <w:rsid w:val="003F4438"/>
    <w:rsid w:val="003F46A8"/>
    <w:rsid w:val="003F519A"/>
    <w:rsid w:val="003F51E8"/>
    <w:rsid w:val="003F532E"/>
    <w:rsid w:val="003F6514"/>
    <w:rsid w:val="003F6746"/>
    <w:rsid w:val="003F694B"/>
    <w:rsid w:val="003F71FF"/>
    <w:rsid w:val="003F7816"/>
    <w:rsid w:val="003F7C99"/>
    <w:rsid w:val="0040063F"/>
    <w:rsid w:val="00401547"/>
    <w:rsid w:val="004015BB"/>
    <w:rsid w:val="00401E62"/>
    <w:rsid w:val="00403252"/>
    <w:rsid w:val="004034B7"/>
    <w:rsid w:val="004036DE"/>
    <w:rsid w:val="0040493E"/>
    <w:rsid w:val="00404C50"/>
    <w:rsid w:val="00404CF1"/>
    <w:rsid w:val="00405095"/>
    <w:rsid w:val="00406237"/>
    <w:rsid w:val="0040662B"/>
    <w:rsid w:val="00406FBF"/>
    <w:rsid w:val="0040718F"/>
    <w:rsid w:val="004072AE"/>
    <w:rsid w:val="004077E7"/>
    <w:rsid w:val="00407DED"/>
    <w:rsid w:val="004105BE"/>
    <w:rsid w:val="00410A3C"/>
    <w:rsid w:val="004117BD"/>
    <w:rsid w:val="00411DA0"/>
    <w:rsid w:val="004122D1"/>
    <w:rsid w:val="00412778"/>
    <w:rsid w:val="004127A8"/>
    <w:rsid w:val="00412AD1"/>
    <w:rsid w:val="00413517"/>
    <w:rsid w:val="004136C3"/>
    <w:rsid w:val="00413E76"/>
    <w:rsid w:val="0041526C"/>
    <w:rsid w:val="004155A7"/>
    <w:rsid w:val="004156FC"/>
    <w:rsid w:val="004163C9"/>
    <w:rsid w:val="00416C7F"/>
    <w:rsid w:val="004172F9"/>
    <w:rsid w:val="0041748D"/>
    <w:rsid w:val="0041770A"/>
    <w:rsid w:val="004203C7"/>
    <w:rsid w:val="00420574"/>
    <w:rsid w:val="0042145E"/>
    <w:rsid w:val="00421767"/>
    <w:rsid w:val="004219F9"/>
    <w:rsid w:val="00422645"/>
    <w:rsid w:val="004231B7"/>
    <w:rsid w:val="004235EC"/>
    <w:rsid w:val="004239A2"/>
    <w:rsid w:val="0042403B"/>
    <w:rsid w:val="0042458E"/>
    <w:rsid w:val="00424733"/>
    <w:rsid w:val="004247A6"/>
    <w:rsid w:val="00425B86"/>
    <w:rsid w:val="00425C61"/>
    <w:rsid w:val="00426C54"/>
    <w:rsid w:val="00426ED7"/>
    <w:rsid w:val="00427253"/>
    <w:rsid w:val="00427897"/>
    <w:rsid w:val="00427DB4"/>
    <w:rsid w:val="004300B9"/>
    <w:rsid w:val="00430468"/>
    <w:rsid w:val="00430B8E"/>
    <w:rsid w:val="0043100B"/>
    <w:rsid w:val="00431304"/>
    <w:rsid w:val="0043141B"/>
    <w:rsid w:val="00432493"/>
    <w:rsid w:val="00432931"/>
    <w:rsid w:val="00432D91"/>
    <w:rsid w:val="00435910"/>
    <w:rsid w:val="00435C14"/>
    <w:rsid w:val="00435F0D"/>
    <w:rsid w:val="004360F4"/>
    <w:rsid w:val="00436633"/>
    <w:rsid w:val="004371D7"/>
    <w:rsid w:val="00437785"/>
    <w:rsid w:val="00437919"/>
    <w:rsid w:val="00437A36"/>
    <w:rsid w:val="00440135"/>
    <w:rsid w:val="0044063C"/>
    <w:rsid w:val="00441176"/>
    <w:rsid w:val="0044217C"/>
    <w:rsid w:val="0044285F"/>
    <w:rsid w:val="00442B8B"/>
    <w:rsid w:val="00442C6C"/>
    <w:rsid w:val="00443B70"/>
    <w:rsid w:val="00444573"/>
    <w:rsid w:val="00444C3C"/>
    <w:rsid w:val="00444CAF"/>
    <w:rsid w:val="00445F75"/>
    <w:rsid w:val="004464EE"/>
    <w:rsid w:val="00447559"/>
    <w:rsid w:val="004475A0"/>
    <w:rsid w:val="0045047D"/>
    <w:rsid w:val="00450B79"/>
    <w:rsid w:val="00450FF1"/>
    <w:rsid w:val="00451044"/>
    <w:rsid w:val="0045118F"/>
    <w:rsid w:val="004512A5"/>
    <w:rsid w:val="00451CF0"/>
    <w:rsid w:val="004525C8"/>
    <w:rsid w:val="00452608"/>
    <w:rsid w:val="004539BD"/>
    <w:rsid w:val="0045516B"/>
    <w:rsid w:val="00455493"/>
    <w:rsid w:val="004557B9"/>
    <w:rsid w:val="00455D09"/>
    <w:rsid w:val="0045602F"/>
    <w:rsid w:val="004563C4"/>
    <w:rsid w:val="00456DA3"/>
    <w:rsid w:val="00457068"/>
    <w:rsid w:val="00457242"/>
    <w:rsid w:val="00460D97"/>
    <w:rsid w:val="00461B0A"/>
    <w:rsid w:val="00461D22"/>
    <w:rsid w:val="0046206D"/>
    <w:rsid w:val="0046213F"/>
    <w:rsid w:val="00462354"/>
    <w:rsid w:val="00462891"/>
    <w:rsid w:val="004629BF"/>
    <w:rsid w:val="00462BE3"/>
    <w:rsid w:val="00462D21"/>
    <w:rsid w:val="00462D45"/>
    <w:rsid w:val="0046402F"/>
    <w:rsid w:val="00464102"/>
    <w:rsid w:val="0046410F"/>
    <w:rsid w:val="004641DC"/>
    <w:rsid w:val="00464338"/>
    <w:rsid w:val="00464472"/>
    <w:rsid w:val="00464918"/>
    <w:rsid w:val="00465753"/>
    <w:rsid w:val="004667E9"/>
    <w:rsid w:val="0046702A"/>
    <w:rsid w:val="004679B2"/>
    <w:rsid w:val="004703C2"/>
    <w:rsid w:val="00470888"/>
    <w:rsid w:val="00470CCE"/>
    <w:rsid w:val="00470F1F"/>
    <w:rsid w:val="004713AB"/>
    <w:rsid w:val="004717FC"/>
    <w:rsid w:val="00471921"/>
    <w:rsid w:val="00471F59"/>
    <w:rsid w:val="00472093"/>
    <w:rsid w:val="004723A6"/>
    <w:rsid w:val="00472EED"/>
    <w:rsid w:val="004736AC"/>
    <w:rsid w:val="004736AF"/>
    <w:rsid w:val="0047387A"/>
    <w:rsid w:val="00473A03"/>
    <w:rsid w:val="00473FDB"/>
    <w:rsid w:val="00474054"/>
    <w:rsid w:val="004744CE"/>
    <w:rsid w:val="00474E1F"/>
    <w:rsid w:val="00475AEF"/>
    <w:rsid w:val="00475B41"/>
    <w:rsid w:val="00475CF8"/>
    <w:rsid w:val="00475E2A"/>
    <w:rsid w:val="0047619F"/>
    <w:rsid w:val="00476426"/>
    <w:rsid w:val="00476569"/>
    <w:rsid w:val="0047664F"/>
    <w:rsid w:val="0047675B"/>
    <w:rsid w:val="00476BF5"/>
    <w:rsid w:val="00476C50"/>
    <w:rsid w:val="00477AFD"/>
    <w:rsid w:val="00477C42"/>
    <w:rsid w:val="00480074"/>
    <w:rsid w:val="00481BD9"/>
    <w:rsid w:val="00482629"/>
    <w:rsid w:val="004827AA"/>
    <w:rsid w:val="004827CF"/>
    <w:rsid w:val="0048281D"/>
    <w:rsid w:val="00482929"/>
    <w:rsid w:val="00484AF2"/>
    <w:rsid w:val="00484C69"/>
    <w:rsid w:val="0048508A"/>
    <w:rsid w:val="00485417"/>
    <w:rsid w:val="00485B96"/>
    <w:rsid w:val="00486972"/>
    <w:rsid w:val="004900B5"/>
    <w:rsid w:val="004908D1"/>
    <w:rsid w:val="004916DC"/>
    <w:rsid w:val="00491F20"/>
    <w:rsid w:val="0049241E"/>
    <w:rsid w:val="00492ADB"/>
    <w:rsid w:val="00493364"/>
    <w:rsid w:val="00493A26"/>
    <w:rsid w:val="00493C3A"/>
    <w:rsid w:val="00493DEF"/>
    <w:rsid w:val="00493F64"/>
    <w:rsid w:val="00494811"/>
    <w:rsid w:val="0049483A"/>
    <w:rsid w:val="00494B4A"/>
    <w:rsid w:val="0049581A"/>
    <w:rsid w:val="00496414"/>
    <w:rsid w:val="004977E6"/>
    <w:rsid w:val="004A014E"/>
    <w:rsid w:val="004A018F"/>
    <w:rsid w:val="004A03DB"/>
    <w:rsid w:val="004A0B0F"/>
    <w:rsid w:val="004A0F1A"/>
    <w:rsid w:val="004A0FA0"/>
    <w:rsid w:val="004A11F2"/>
    <w:rsid w:val="004A12FF"/>
    <w:rsid w:val="004A14A4"/>
    <w:rsid w:val="004A1DCB"/>
    <w:rsid w:val="004A24CA"/>
    <w:rsid w:val="004A3075"/>
    <w:rsid w:val="004A3441"/>
    <w:rsid w:val="004A3BCC"/>
    <w:rsid w:val="004A3CA1"/>
    <w:rsid w:val="004A3CED"/>
    <w:rsid w:val="004A3D65"/>
    <w:rsid w:val="004A4795"/>
    <w:rsid w:val="004A4830"/>
    <w:rsid w:val="004A4C38"/>
    <w:rsid w:val="004A4EF4"/>
    <w:rsid w:val="004A523B"/>
    <w:rsid w:val="004A5342"/>
    <w:rsid w:val="004A5B05"/>
    <w:rsid w:val="004A61D4"/>
    <w:rsid w:val="004A7A9B"/>
    <w:rsid w:val="004B02A9"/>
    <w:rsid w:val="004B0BC2"/>
    <w:rsid w:val="004B0DAD"/>
    <w:rsid w:val="004B0FC7"/>
    <w:rsid w:val="004B1940"/>
    <w:rsid w:val="004B1B4C"/>
    <w:rsid w:val="004B1DE8"/>
    <w:rsid w:val="004B21F1"/>
    <w:rsid w:val="004B22F4"/>
    <w:rsid w:val="004B274C"/>
    <w:rsid w:val="004B304F"/>
    <w:rsid w:val="004B3278"/>
    <w:rsid w:val="004B47D7"/>
    <w:rsid w:val="004B4F4C"/>
    <w:rsid w:val="004B5A1B"/>
    <w:rsid w:val="004B5AE7"/>
    <w:rsid w:val="004B5C06"/>
    <w:rsid w:val="004B5DF8"/>
    <w:rsid w:val="004B6337"/>
    <w:rsid w:val="004B63F4"/>
    <w:rsid w:val="004B644B"/>
    <w:rsid w:val="004B6993"/>
    <w:rsid w:val="004B7A8D"/>
    <w:rsid w:val="004C0230"/>
    <w:rsid w:val="004C17A2"/>
    <w:rsid w:val="004C17C0"/>
    <w:rsid w:val="004C1823"/>
    <w:rsid w:val="004C2657"/>
    <w:rsid w:val="004C347F"/>
    <w:rsid w:val="004C3FF6"/>
    <w:rsid w:val="004C409A"/>
    <w:rsid w:val="004C4115"/>
    <w:rsid w:val="004C4150"/>
    <w:rsid w:val="004C4515"/>
    <w:rsid w:val="004C4820"/>
    <w:rsid w:val="004C4DCF"/>
    <w:rsid w:val="004C532B"/>
    <w:rsid w:val="004C5DDD"/>
    <w:rsid w:val="004C608D"/>
    <w:rsid w:val="004C6170"/>
    <w:rsid w:val="004C6815"/>
    <w:rsid w:val="004C707A"/>
    <w:rsid w:val="004C7675"/>
    <w:rsid w:val="004D2051"/>
    <w:rsid w:val="004D26E7"/>
    <w:rsid w:val="004D31DC"/>
    <w:rsid w:val="004D3268"/>
    <w:rsid w:val="004D32B5"/>
    <w:rsid w:val="004D339D"/>
    <w:rsid w:val="004D3BB2"/>
    <w:rsid w:val="004D4232"/>
    <w:rsid w:val="004D4FE2"/>
    <w:rsid w:val="004D5A6B"/>
    <w:rsid w:val="004D5B97"/>
    <w:rsid w:val="004D5D4B"/>
    <w:rsid w:val="004D5E7B"/>
    <w:rsid w:val="004D5FB4"/>
    <w:rsid w:val="004D60B0"/>
    <w:rsid w:val="004D6EF5"/>
    <w:rsid w:val="004D7D33"/>
    <w:rsid w:val="004D7EA5"/>
    <w:rsid w:val="004E1501"/>
    <w:rsid w:val="004E173A"/>
    <w:rsid w:val="004E1B40"/>
    <w:rsid w:val="004E3253"/>
    <w:rsid w:val="004E372C"/>
    <w:rsid w:val="004E4DC0"/>
    <w:rsid w:val="004E54CE"/>
    <w:rsid w:val="004E555E"/>
    <w:rsid w:val="004E6D7F"/>
    <w:rsid w:val="004E6F60"/>
    <w:rsid w:val="004E736A"/>
    <w:rsid w:val="004E7392"/>
    <w:rsid w:val="004F022C"/>
    <w:rsid w:val="004F0BCC"/>
    <w:rsid w:val="004F1005"/>
    <w:rsid w:val="004F245D"/>
    <w:rsid w:val="004F2555"/>
    <w:rsid w:val="004F2879"/>
    <w:rsid w:val="004F2950"/>
    <w:rsid w:val="004F29D9"/>
    <w:rsid w:val="004F2DA3"/>
    <w:rsid w:val="004F35CB"/>
    <w:rsid w:val="004F4404"/>
    <w:rsid w:val="004F4BCE"/>
    <w:rsid w:val="004F5DEA"/>
    <w:rsid w:val="004F6150"/>
    <w:rsid w:val="004F662F"/>
    <w:rsid w:val="004F67E1"/>
    <w:rsid w:val="004F6A50"/>
    <w:rsid w:val="004F6EDE"/>
    <w:rsid w:val="004F73B0"/>
    <w:rsid w:val="004F7F81"/>
    <w:rsid w:val="00500A53"/>
    <w:rsid w:val="0050137A"/>
    <w:rsid w:val="00501398"/>
    <w:rsid w:val="005015D7"/>
    <w:rsid w:val="00501DBE"/>
    <w:rsid w:val="00501E87"/>
    <w:rsid w:val="005021B1"/>
    <w:rsid w:val="00503490"/>
    <w:rsid w:val="00503CAC"/>
    <w:rsid w:val="005045B0"/>
    <w:rsid w:val="00504A30"/>
    <w:rsid w:val="00504B85"/>
    <w:rsid w:val="00504EDB"/>
    <w:rsid w:val="00505E00"/>
    <w:rsid w:val="0050618F"/>
    <w:rsid w:val="005063BA"/>
    <w:rsid w:val="00507197"/>
    <w:rsid w:val="00507495"/>
    <w:rsid w:val="005077BF"/>
    <w:rsid w:val="005077F1"/>
    <w:rsid w:val="00507976"/>
    <w:rsid w:val="00510167"/>
    <w:rsid w:val="00510A31"/>
    <w:rsid w:val="00510B8C"/>
    <w:rsid w:val="00511598"/>
    <w:rsid w:val="0051325D"/>
    <w:rsid w:val="005132F7"/>
    <w:rsid w:val="005133C4"/>
    <w:rsid w:val="00513EAA"/>
    <w:rsid w:val="00514AB4"/>
    <w:rsid w:val="00514E27"/>
    <w:rsid w:val="00515A20"/>
    <w:rsid w:val="00515F96"/>
    <w:rsid w:val="00516280"/>
    <w:rsid w:val="00517B1A"/>
    <w:rsid w:val="00520146"/>
    <w:rsid w:val="00520DCE"/>
    <w:rsid w:val="00520E26"/>
    <w:rsid w:val="005210B1"/>
    <w:rsid w:val="00521466"/>
    <w:rsid w:val="0052153D"/>
    <w:rsid w:val="00521C13"/>
    <w:rsid w:val="00521D27"/>
    <w:rsid w:val="00522402"/>
    <w:rsid w:val="0052379B"/>
    <w:rsid w:val="00524CCE"/>
    <w:rsid w:val="005250B0"/>
    <w:rsid w:val="005258D0"/>
    <w:rsid w:val="005259B8"/>
    <w:rsid w:val="00525FC9"/>
    <w:rsid w:val="0052601F"/>
    <w:rsid w:val="00526AD6"/>
    <w:rsid w:val="0052721D"/>
    <w:rsid w:val="005272C4"/>
    <w:rsid w:val="0052757B"/>
    <w:rsid w:val="00527609"/>
    <w:rsid w:val="00527C29"/>
    <w:rsid w:val="00527E0B"/>
    <w:rsid w:val="00527EF1"/>
    <w:rsid w:val="00530567"/>
    <w:rsid w:val="00530576"/>
    <w:rsid w:val="005305E2"/>
    <w:rsid w:val="00530611"/>
    <w:rsid w:val="005309D4"/>
    <w:rsid w:val="00531E33"/>
    <w:rsid w:val="00531ECB"/>
    <w:rsid w:val="00531FCF"/>
    <w:rsid w:val="00532D3A"/>
    <w:rsid w:val="00532E83"/>
    <w:rsid w:val="0053323E"/>
    <w:rsid w:val="00533661"/>
    <w:rsid w:val="0053383D"/>
    <w:rsid w:val="00533A10"/>
    <w:rsid w:val="00533D10"/>
    <w:rsid w:val="00534C1B"/>
    <w:rsid w:val="00535DF9"/>
    <w:rsid w:val="0053713D"/>
    <w:rsid w:val="0053736B"/>
    <w:rsid w:val="00537611"/>
    <w:rsid w:val="00541691"/>
    <w:rsid w:val="005418C5"/>
    <w:rsid w:val="00542227"/>
    <w:rsid w:val="00542E8A"/>
    <w:rsid w:val="00543E96"/>
    <w:rsid w:val="00543F45"/>
    <w:rsid w:val="005443C0"/>
    <w:rsid w:val="00544539"/>
    <w:rsid w:val="00544B20"/>
    <w:rsid w:val="00544EF1"/>
    <w:rsid w:val="00545F26"/>
    <w:rsid w:val="00546506"/>
    <w:rsid w:val="00546EA5"/>
    <w:rsid w:val="00547043"/>
    <w:rsid w:val="005501F0"/>
    <w:rsid w:val="0055049D"/>
    <w:rsid w:val="0055088F"/>
    <w:rsid w:val="00551424"/>
    <w:rsid w:val="005517B8"/>
    <w:rsid w:val="00551B2C"/>
    <w:rsid w:val="00552C72"/>
    <w:rsid w:val="00553655"/>
    <w:rsid w:val="00553971"/>
    <w:rsid w:val="00553BB9"/>
    <w:rsid w:val="00554C83"/>
    <w:rsid w:val="00554D2B"/>
    <w:rsid w:val="0055595F"/>
    <w:rsid w:val="00555B3B"/>
    <w:rsid w:val="005562AA"/>
    <w:rsid w:val="005572E6"/>
    <w:rsid w:val="0055798F"/>
    <w:rsid w:val="00557AD5"/>
    <w:rsid w:val="00561E94"/>
    <w:rsid w:val="00562120"/>
    <w:rsid w:val="00563A7C"/>
    <w:rsid w:val="00563ABE"/>
    <w:rsid w:val="00564C10"/>
    <w:rsid w:val="00565882"/>
    <w:rsid w:val="005658FC"/>
    <w:rsid w:val="005664D4"/>
    <w:rsid w:val="0056706C"/>
    <w:rsid w:val="00570022"/>
    <w:rsid w:val="0057027C"/>
    <w:rsid w:val="00570912"/>
    <w:rsid w:val="00570CEC"/>
    <w:rsid w:val="00571179"/>
    <w:rsid w:val="00571DCE"/>
    <w:rsid w:val="005747BE"/>
    <w:rsid w:val="00574984"/>
    <w:rsid w:val="00574EBD"/>
    <w:rsid w:val="00575156"/>
    <w:rsid w:val="0057570D"/>
    <w:rsid w:val="00575AE7"/>
    <w:rsid w:val="00576105"/>
    <w:rsid w:val="00577084"/>
    <w:rsid w:val="005775EE"/>
    <w:rsid w:val="0057770E"/>
    <w:rsid w:val="00580890"/>
    <w:rsid w:val="005815EC"/>
    <w:rsid w:val="0058177B"/>
    <w:rsid w:val="00581DC0"/>
    <w:rsid w:val="00582129"/>
    <w:rsid w:val="0058240C"/>
    <w:rsid w:val="005829A9"/>
    <w:rsid w:val="00582BA1"/>
    <w:rsid w:val="00583F76"/>
    <w:rsid w:val="005847AC"/>
    <w:rsid w:val="00584CDA"/>
    <w:rsid w:val="005850E0"/>
    <w:rsid w:val="0058566B"/>
    <w:rsid w:val="00585CE3"/>
    <w:rsid w:val="00585FC6"/>
    <w:rsid w:val="005860DD"/>
    <w:rsid w:val="005867E0"/>
    <w:rsid w:val="00586DD9"/>
    <w:rsid w:val="0058739B"/>
    <w:rsid w:val="005876C1"/>
    <w:rsid w:val="00587714"/>
    <w:rsid w:val="0059007A"/>
    <w:rsid w:val="005904A8"/>
    <w:rsid w:val="00590A19"/>
    <w:rsid w:val="00590A7E"/>
    <w:rsid w:val="00590DDF"/>
    <w:rsid w:val="0059134A"/>
    <w:rsid w:val="00591F8E"/>
    <w:rsid w:val="005920FB"/>
    <w:rsid w:val="0059271D"/>
    <w:rsid w:val="005927CF"/>
    <w:rsid w:val="00592AA1"/>
    <w:rsid w:val="00593AFA"/>
    <w:rsid w:val="00593B02"/>
    <w:rsid w:val="00593C42"/>
    <w:rsid w:val="0059466C"/>
    <w:rsid w:val="00594C8E"/>
    <w:rsid w:val="00595922"/>
    <w:rsid w:val="00595B37"/>
    <w:rsid w:val="00595F79"/>
    <w:rsid w:val="005960E7"/>
    <w:rsid w:val="0059617F"/>
    <w:rsid w:val="00596B43"/>
    <w:rsid w:val="00596F7E"/>
    <w:rsid w:val="00596F88"/>
    <w:rsid w:val="0059760E"/>
    <w:rsid w:val="00597AA2"/>
    <w:rsid w:val="005A00F9"/>
    <w:rsid w:val="005A0236"/>
    <w:rsid w:val="005A0764"/>
    <w:rsid w:val="005A2695"/>
    <w:rsid w:val="005A272C"/>
    <w:rsid w:val="005A3388"/>
    <w:rsid w:val="005A3D11"/>
    <w:rsid w:val="005A4866"/>
    <w:rsid w:val="005A5169"/>
    <w:rsid w:val="005A5DC8"/>
    <w:rsid w:val="005A5F5A"/>
    <w:rsid w:val="005A67B2"/>
    <w:rsid w:val="005A6C4E"/>
    <w:rsid w:val="005A76D8"/>
    <w:rsid w:val="005B0288"/>
    <w:rsid w:val="005B0A54"/>
    <w:rsid w:val="005B165B"/>
    <w:rsid w:val="005B18F1"/>
    <w:rsid w:val="005B1BFA"/>
    <w:rsid w:val="005B22A7"/>
    <w:rsid w:val="005B333D"/>
    <w:rsid w:val="005B402D"/>
    <w:rsid w:val="005B6489"/>
    <w:rsid w:val="005B6E0C"/>
    <w:rsid w:val="005B73BA"/>
    <w:rsid w:val="005B7410"/>
    <w:rsid w:val="005B7893"/>
    <w:rsid w:val="005B78DE"/>
    <w:rsid w:val="005B7913"/>
    <w:rsid w:val="005C0746"/>
    <w:rsid w:val="005C0FF9"/>
    <w:rsid w:val="005C1447"/>
    <w:rsid w:val="005C1877"/>
    <w:rsid w:val="005C1D07"/>
    <w:rsid w:val="005C1F28"/>
    <w:rsid w:val="005C1F3B"/>
    <w:rsid w:val="005C2412"/>
    <w:rsid w:val="005C3366"/>
    <w:rsid w:val="005C3AC3"/>
    <w:rsid w:val="005C3BE3"/>
    <w:rsid w:val="005C3C5D"/>
    <w:rsid w:val="005C46F1"/>
    <w:rsid w:val="005C4F0A"/>
    <w:rsid w:val="005C5270"/>
    <w:rsid w:val="005C531C"/>
    <w:rsid w:val="005C534B"/>
    <w:rsid w:val="005C583B"/>
    <w:rsid w:val="005C5D82"/>
    <w:rsid w:val="005C5E4C"/>
    <w:rsid w:val="005C614A"/>
    <w:rsid w:val="005C743B"/>
    <w:rsid w:val="005D0740"/>
    <w:rsid w:val="005D12AB"/>
    <w:rsid w:val="005D1604"/>
    <w:rsid w:val="005D1BA2"/>
    <w:rsid w:val="005D1D77"/>
    <w:rsid w:val="005D2176"/>
    <w:rsid w:val="005D3B08"/>
    <w:rsid w:val="005D3CCA"/>
    <w:rsid w:val="005D415F"/>
    <w:rsid w:val="005D4482"/>
    <w:rsid w:val="005D4520"/>
    <w:rsid w:val="005D4C7A"/>
    <w:rsid w:val="005D5C01"/>
    <w:rsid w:val="005D5CBB"/>
    <w:rsid w:val="005D6B4F"/>
    <w:rsid w:val="005D72DC"/>
    <w:rsid w:val="005D756D"/>
    <w:rsid w:val="005D7A8F"/>
    <w:rsid w:val="005E06E6"/>
    <w:rsid w:val="005E07BE"/>
    <w:rsid w:val="005E08AE"/>
    <w:rsid w:val="005E0AF0"/>
    <w:rsid w:val="005E1005"/>
    <w:rsid w:val="005E155B"/>
    <w:rsid w:val="005E1798"/>
    <w:rsid w:val="005E1B52"/>
    <w:rsid w:val="005E1B54"/>
    <w:rsid w:val="005E2241"/>
    <w:rsid w:val="005E28DE"/>
    <w:rsid w:val="005E2A9A"/>
    <w:rsid w:val="005E32CC"/>
    <w:rsid w:val="005E3722"/>
    <w:rsid w:val="005E3FEE"/>
    <w:rsid w:val="005E4887"/>
    <w:rsid w:val="005E5605"/>
    <w:rsid w:val="005E5E01"/>
    <w:rsid w:val="005E6AFF"/>
    <w:rsid w:val="005E6D02"/>
    <w:rsid w:val="005E6FA8"/>
    <w:rsid w:val="005E7067"/>
    <w:rsid w:val="005E766D"/>
    <w:rsid w:val="005E7F26"/>
    <w:rsid w:val="005F0A04"/>
    <w:rsid w:val="005F10D9"/>
    <w:rsid w:val="005F10F6"/>
    <w:rsid w:val="005F1502"/>
    <w:rsid w:val="005F17DF"/>
    <w:rsid w:val="005F22D3"/>
    <w:rsid w:val="005F25FD"/>
    <w:rsid w:val="005F2D2D"/>
    <w:rsid w:val="005F2E35"/>
    <w:rsid w:val="005F2ED1"/>
    <w:rsid w:val="005F41CF"/>
    <w:rsid w:val="005F427D"/>
    <w:rsid w:val="005F457F"/>
    <w:rsid w:val="005F51B8"/>
    <w:rsid w:val="005F537B"/>
    <w:rsid w:val="005F5915"/>
    <w:rsid w:val="005F5B49"/>
    <w:rsid w:val="005F5BC2"/>
    <w:rsid w:val="005F5F67"/>
    <w:rsid w:val="005F710F"/>
    <w:rsid w:val="005F7F5A"/>
    <w:rsid w:val="0060019D"/>
    <w:rsid w:val="006001D4"/>
    <w:rsid w:val="00600647"/>
    <w:rsid w:val="00600BF7"/>
    <w:rsid w:val="006010D5"/>
    <w:rsid w:val="0060130E"/>
    <w:rsid w:val="0060142D"/>
    <w:rsid w:val="00601C65"/>
    <w:rsid w:val="006025F5"/>
    <w:rsid w:val="0060265D"/>
    <w:rsid w:val="00602824"/>
    <w:rsid w:val="006029C8"/>
    <w:rsid w:val="0060350A"/>
    <w:rsid w:val="006036AB"/>
    <w:rsid w:val="00603BC8"/>
    <w:rsid w:val="00603C14"/>
    <w:rsid w:val="006047D1"/>
    <w:rsid w:val="00604B53"/>
    <w:rsid w:val="00605961"/>
    <w:rsid w:val="00605A39"/>
    <w:rsid w:val="00605BC8"/>
    <w:rsid w:val="00606A79"/>
    <w:rsid w:val="00607181"/>
    <w:rsid w:val="0060783A"/>
    <w:rsid w:val="00611287"/>
    <w:rsid w:val="00611721"/>
    <w:rsid w:val="006122D1"/>
    <w:rsid w:val="00614118"/>
    <w:rsid w:val="006157B9"/>
    <w:rsid w:val="00615E41"/>
    <w:rsid w:val="00615F95"/>
    <w:rsid w:val="00616310"/>
    <w:rsid w:val="00616450"/>
    <w:rsid w:val="00616E16"/>
    <w:rsid w:val="00616E87"/>
    <w:rsid w:val="00616EDE"/>
    <w:rsid w:val="00617624"/>
    <w:rsid w:val="00617DBB"/>
    <w:rsid w:val="006200F8"/>
    <w:rsid w:val="00620188"/>
    <w:rsid w:val="00620495"/>
    <w:rsid w:val="00620707"/>
    <w:rsid w:val="00623287"/>
    <w:rsid w:val="006232F7"/>
    <w:rsid w:val="00623AC9"/>
    <w:rsid w:val="006247E0"/>
    <w:rsid w:val="00625FA5"/>
    <w:rsid w:val="00626296"/>
    <w:rsid w:val="00626401"/>
    <w:rsid w:val="00627589"/>
    <w:rsid w:val="00627955"/>
    <w:rsid w:val="00627A09"/>
    <w:rsid w:val="00627C94"/>
    <w:rsid w:val="00627EC7"/>
    <w:rsid w:val="006305E1"/>
    <w:rsid w:val="00630605"/>
    <w:rsid w:val="00630C84"/>
    <w:rsid w:val="006316BB"/>
    <w:rsid w:val="006316F1"/>
    <w:rsid w:val="0063177F"/>
    <w:rsid w:val="00631C8F"/>
    <w:rsid w:val="0063222A"/>
    <w:rsid w:val="0063248D"/>
    <w:rsid w:val="00632C03"/>
    <w:rsid w:val="00632E1F"/>
    <w:rsid w:val="00632F36"/>
    <w:rsid w:val="00633543"/>
    <w:rsid w:val="006341F8"/>
    <w:rsid w:val="006349BE"/>
    <w:rsid w:val="00634CFA"/>
    <w:rsid w:val="006351B5"/>
    <w:rsid w:val="0063530A"/>
    <w:rsid w:val="00635D7A"/>
    <w:rsid w:val="00636681"/>
    <w:rsid w:val="00636C4D"/>
    <w:rsid w:val="006374ED"/>
    <w:rsid w:val="0063764E"/>
    <w:rsid w:val="00637863"/>
    <w:rsid w:val="00637989"/>
    <w:rsid w:val="00640475"/>
    <w:rsid w:val="00641ADD"/>
    <w:rsid w:val="00641B1F"/>
    <w:rsid w:val="00642166"/>
    <w:rsid w:val="006422C0"/>
    <w:rsid w:val="00643711"/>
    <w:rsid w:val="006447CD"/>
    <w:rsid w:val="00644AED"/>
    <w:rsid w:val="00645ACD"/>
    <w:rsid w:val="00645DA3"/>
    <w:rsid w:val="00645DDF"/>
    <w:rsid w:val="0064637C"/>
    <w:rsid w:val="006465EF"/>
    <w:rsid w:val="00647D45"/>
    <w:rsid w:val="0065007E"/>
    <w:rsid w:val="0065085D"/>
    <w:rsid w:val="0065093A"/>
    <w:rsid w:val="00651001"/>
    <w:rsid w:val="00651640"/>
    <w:rsid w:val="00651C28"/>
    <w:rsid w:val="00651F59"/>
    <w:rsid w:val="006526A4"/>
    <w:rsid w:val="00653313"/>
    <w:rsid w:val="00653519"/>
    <w:rsid w:val="006535A4"/>
    <w:rsid w:val="0065363C"/>
    <w:rsid w:val="0065364A"/>
    <w:rsid w:val="00653BE0"/>
    <w:rsid w:val="00653C4B"/>
    <w:rsid w:val="00653E13"/>
    <w:rsid w:val="006545D1"/>
    <w:rsid w:val="00654E48"/>
    <w:rsid w:val="0065511E"/>
    <w:rsid w:val="006552FB"/>
    <w:rsid w:val="00655665"/>
    <w:rsid w:val="00656C28"/>
    <w:rsid w:val="00657228"/>
    <w:rsid w:val="006572BC"/>
    <w:rsid w:val="006577E3"/>
    <w:rsid w:val="006605D7"/>
    <w:rsid w:val="00660B96"/>
    <w:rsid w:val="006611F2"/>
    <w:rsid w:val="006613F9"/>
    <w:rsid w:val="00661C64"/>
    <w:rsid w:val="00661D55"/>
    <w:rsid w:val="00661E62"/>
    <w:rsid w:val="006622E0"/>
    <w:rsid w:val="00662B7C"/>
    <w:rsid w:val="006636C2"/>
    <w:rsid w:val="00663B02"/>
    <w:rsid w:val="0066419A"/>
    <w:rsid w:val="006643DB"/>
    <w:rsid w:val="0066482B"/>
    <w:rsid w:val="00665500"/>
    <w:rsid w:val="00665EE4"/>
    <w:rsid w:val="00666039"/>
    <w:rsid w:val="006666C0"/>
    <w:rsid w:val="00666EC7"/>
    <w:rsid w:val="0066729F"/>
    <w:rsid w:val="00667A5D"/>
    <w:rsid w:val="00667C87"/>
    <w:rsid w:val="00667F5E"/>
    <w:rsid w:val="006700EF"/>
    <w:rsid w:val="00670D1C"/>
    <w:rsid w:val="00671289"/>
    <w:rsid w:val="006717EE"/>
    <w:rsid w:val="00671CA7"/>
    <w:rsid w:val="006732D5"/>
    <w:rsid w:val="006737BB"/>
    <w:rsid w:val="00673886"/>
    <w:rsid w:val="00673BDD"/>
    <w:rsid w:val="00673C24"/>
    <w:rsid w:val="00673DC4"/>
    <w:rsid w:val="006741F9"/>
    <w:rsid w:val="006743E2"/>
    <w:rsid w:val="006744A1"/>
    <w:rsid w:val="00674D58"/>
    <w:rsid w:val="006758D3"/>
    <w:rsid w:val="00676130"/>
    <w:rsid w:val="00676325"/>
    <w:rsid w:val="00676DF0"/>
    <w:rsid w:val="006771A4"/>
    <w:rsid w:val="006777AE"/>
    <w:rsid w:val="006779C0"/>
    <w:rsid w:val="006815D9"/>
    <w:rsid w:val="00681A67"/>
    <w:rsid w:val="00682477"/>
    <w:rsid w:val="00682845"/>
    <w:rsid w:val="006828FC"/>
    <w:rsid w:val="00682952"/>
    <w:rsid w:val="006829CD"/>
    <w:rsid w:val="00682FDC"/>
    <w:rsid w:val="00683CED"/>
    <w:rsid w:val="00683D64"/>
    <w:rsid w:val="006843D3"/>
    <w:rsid w:val="00685330"/>
    <w:rsid w:val="00685843"/>
    <w:rsid w:val="00685A0C"/>
    <w:rsid w:val="00686C68"/>
    <w:rsid w:val="00687755"/>
    <w:rsid w:val="00687AD4"/>
    <w:rsid w:val="00687DC0"/>
    <w:rsid w:val="00690623"/>
    <w:rsid w:val="00691251"/>
    <w:rsid w:val="006930F5"/>
    <w:rsid w:val="00693211"/>
    <w:rsid w:val="0069366B"/>
    <w:rsid w:val="006944A7"/>
    <w:rsid w:val="0069553A"/>
    <w:rsid w:val="00696228"/>
    <w:rsid w:val="00696EBB"/>
    <w:rsid w:val="00697B4D"/>
    <w:rsid w:val="006A126F"/>
    <w:rsid w:val="006A129E"/>
    <w:rsid w:val="006A2927"/>
    <w:rsid w:val="006A320B"/>
    <w:rsid w:val="006A3D83"/>
    <w:rsid w:val="006A432F"/>
    <w:rsid w:val="006A5E69"/>
    <w:rsid w:val="006A7982"/>
    <w:rsid w:val="006B0B4C"/>
    <w:rsid w:val="006B0E83"/>
    <w:rsid w:val="006B1272"/>
    <w:rsid w:val="006B18B7"/>
    <w:rsid w:val="006B24C8"/>
    <w:rsid w:val="006B26EA"/>
    <w:rsid w:val="006B2ADB"/>
    <w:rsid w:val="006B3586"/>
    <w:rsid w:val="006B3D61"/>
    <w:rsid w:val="006B4156"/>
    <w:rsid w:val="006B42F4"/>
    <w:rsid w:val="006B48F1"/>
    <w:rsid w:val="006B51B4"/>
    <w:rsid w:val="006B55B8"/>
    <w:rsid w:val="006B5B7E"/>
    <w:rsid w:val="006B6277"/>
    <w:rsid w:val="006B6528"/>
    <w:rsid w:val="006B66F0"/>
    <w:rsid w:val="006B6B55"/>
    <w:rsid w:val="006B72EC"/>
    <w:rsid w:val="006B7850"/>
    <w:rsid w:val="006B7B9B"/>
    <w:rsid w:val="006B7D1F"/>
    <w:rsid w:val="006B7DCB"/>
    <w:rsid w:val="006C129E"/>
    <w:rsid w:val="006C1F70"/>
    <w:rsid w:val="006C24E4"/>
    <w:rsid w:val="006C2942"/>
    <w:rsid w:val="006C2A33"/>
    <w:rsid w:val="006C2BC4"/>
    <w:rsid w:val="006C35EC"/>
    <w:rsid w:val="006C35FF"/>
    <w:rsid w:val="006C3E8D"/>
    <w:rsid w:val="006C3F3B"/>
    <w:rsid w:val="006C48B4"/>
    <w:rsid w:val="006C4969"/>
    <w:rsid w:val="006C5446"/>
    <w:rsid w:val="006C5ABB"/>
    <w:rsid w:val="006C5B9C"/>
    <w:rsid w:val="006C60D7"/>
    <w:rsid w:val="006C6310"/>
    <w:rsid w:val="006C6494"/>
    <w:rsid w:val="006C6C84"/>
    <w:rsid w:val="006C7157"/>
    <w:rsid w:val="006C7A0E"/>
    <w:rsid w:val="006C7CC5"/>
    <w:rsid w:val="006C7FED"/>
    <w:rsid w:val="006D165F"/>
    <w:rsid w:val="006D1ED6"/>
    <w:rsid w:val="006D33CC"/>
    <w:rsid w:val="006D49D7"/>
    <w:rsid w:val="006D51F6"/>
    <w:rsid w:val="006D55AE"/>
    <w:rsid w:val="006D5D1A"/>
    <w:rsid w:val="006D61FE"/>
    <w:rsid w:val="006D6245"/>
    <w:rsid w:val="006D64C2"/>
    <w:rsid w:val="006D6984"/>
    <w:rsid w:val="006D718E"/>
    <w:rsid w:val="006E0276"/>
    <w:rsid w:val="006E2132"/>
    <w:rsid w:val="006E277A"/>
    <w:rsid w:val="006E3638"/>
    <w:rsid w:val="006E4114"/>
    <w:rsid w:val="006E4DE9"/>
    <w:rsid w:val="006E551A"/>
    <w:rsid w:val="006E6E2C"/>
    <w:rsid w:val="006E7009"/>
    <w:rsid w:val="006E7E64"/>
    <w:rsid w:val="006E7EA7"/>
    <w:rsid w:val="006E7F93"/>
    <w:rsid w:val="006F03F3"/>
    <w:rsid w:val="006F0422"/>
    <w:rsid w:val="006F042F"/>
    <w:rsid w:val="006F0438"/>
    <w:rsid w:val="006F0801"/>
    <w:rsid w:val="006F085A"/>
    <w:rsid w:val="006F178C"/>
    <w:rsid w:val="006F191F"/>
    <w:rsid w:val="006F198C"/>
    <w:rsid w:val="006F1E66"/>
    <w:rsid w:val="006F2050"/>
    <w:rsid w:val="006F20A9"/>
    <w:rsid w:val="006F2394"/>
    <w:rsid w:val="006F2526"/>
    <w:rsid w:val="006F2F61"/>
    <w:rsid w:val="006F3B76"/>
    <w:rsid w:val="006F438C"/>
    <w:rsid w:val="006F44CE"/>
    <w:rsid w:val="006F4901"/>
    <w:rsid w:val="006F498E"/>
    <w:rsid w:val="006F4F94"/>
    <w:rsid w:val="006F5109"/>
    <w:rsid w:val="006F52FE"/>
    <w:rsid w:val="006F5A70"/>
    <w:rsid w:val="006F5D40"/>
    <w:rsid w:val="006F5F4A"/>
    <w:rsid w:val="006F697C"/>
    <w:rsid w:val="006F6E25"/>
    <w:rsid w:val="006F796F"/>
    <w:rsid w:val="00700104"/>
    <w:rsid w:val="00700230"/>
    <w:rsid w:val="00700BA3"/>
    <w:rsid w:val="00700F81"/>
    <w:rsid w:val="007017BA"/>
    <w:rsid w:val="00701ADD"/>
    <w:rsid w:val="00701D43"/>
    <w:rsid w:val="007022A7"/>
    <w:rsid w:val="00703AEE"/>
    <w:rsid w:val="007041DF"/>
    <w:rsid w:val="00704277"/>
    <w:rsid w:val="00704EAC"/>
    <w:rsid w:val="007058FD"/>
    <w:rsid w:val="00706903"/>
    <w:rsid w:val="007079D2"/>
    <w:rsid w:val="00707B16"/>
    <w:rsid w:val="00707D48"/>
    <w:rsid w:val="00707E67"/>
    <w:rsid w:val="00707ECA"/>
    <w:rsid w:val="00710264"/>
    <w:rsid w:val="007104F2"/>
    <w:rsid w:val="007106C1"/>
    <w:rsid w:val="00710C1F"/>
    <w:rsid w:val="007114C5"/>
    <w:rsid w:val="007117A9"/>
    <w:rsid w:val="00712677"/>
    <w:rsid w:val="007143EC"/>
    <w:rsid w:val="00714B3A"/>
    <w:rsid w:val="0071520F"/>
    <w:rsid w:val="00715278"/>
    <w:rsid w:val="00716A86"/>
    <w:rsid w:val="007170FC"/>
    <w:rsid w:val="00717AA4"/>
    <w:rsid w:val="00721067"/>
    <w:rsid w:val="0072111D"/>
    <w:rsid w:val="00721866"/>
    <w:rsid w:val="00721889"/>
    <w:rsid w:val="00721B41"/>
    <w:rsid w:val="00722FE4"/>
    <w:rsid w:val="007231BA"/>
    <w:rsid w:val="00723769"/>
    <w:rsid w:val="00724779"/>
    <w:rsid w:val="007247DC"/>
    <w:rsid w:val="00724B2C"/>
    <w:rsid w:val="007254E7"/>
    <w:rsid w:val="00725595"/>
    <w:rsid w:val="007255B6"/>
    <w:rsid w:val="007257D6"/>
    <w:rsid w:val="007257DF"/>
    <w:rsid w:val="007267FB"/>
    <w:rsid w:val="0072722B"/>
    <w:rsid w:val="00727382"/>
    <w:rsid w:val="00727D4E"/>
    <w:rsid w:val="00730421"/>
    <w:rsid w:val="0073168A"/>
    <w:rsid w:val="007316A7"/>
    <w:rsid w:val="00731FBB"/>
    <w:rsid w:val="00732DCD"/>
    <w:rsid w:val="0073317B"/>
    <w:rsid w:val="007332FD"/>
    <w:rsid w:val="0073369F"/>
    <w:rsid w:val="007337C8"/>
    <w:rsid w:val="00733816"/>
    <w:rsid w:val="00733D5C"/>
    <w:rsid w:val="007348E4"/>
    <w:rsid w:val="00734D48"/>
    <w:rsid w:val="00736670"/>
    <w:rsid w:val="0073695A"/>
    <w:rsid w:val="007378DC"/>
    <w:rsid w:val="00737A0B"/>
    <w:rsid w:val="007400BB"/>
    <w:rsid w:val="007400DE"/>
    <w:rsid w:val="007400E0"/>
    <w:rsid w:val="007409D0"/>
    <w:rsid w:val="00740EDC"/>
    <w:rsid w:val="00741002"/>
    <w:rsid w:val="0074175F"/>
    <w:rsid w:val="00741858"/>
    <w:rsid w:val="00741C1A"/>
    <w:rsid w:val="0074424C"/>
    <w:rsid w:val="00744799"/>
    <w:rsid w:val="00744B48"/>
    <w:rsid w:val="0074542B"/>
    <w:rsid w:val="00745D3C"/>
    <w:rsid w:val="00745E9F"/>
    <w:rsid w:val="007465F8"/>
    <w:rsid w:val="00746C9B"/>
    <w:rsid w:val="00746CF5"/>
    <w:rsid w:val="007473DE"/>
    <w:rsid w:val="0074766E"/>
    <w:rsid w:val="007477B8"/>
    <w:rsid w:val="00747B83"/>
    <w:rsid w:val="00747D2C"/>
    <w:rsid w:val="00750B84"/>
    <w:rsid w:val="00750CD0"/>
    <w:rsid w:val="007510AC"/>
    <w:rsid w:val="007513DB"/>
    <w:rsid w:val="0075155B"/>
    <w:rsid w:val="00751DB4"/>
    <w:rsid w:val="00752DA1"/>
    <w:rsid w:val="00753BAF"/>
    <w:rsid w:val="00753D2B"/>
    <w:rsid w:val="00754325"/>
    <w:rsid w:val="00754559"/>
    <w:rsid w:val="00754945"/>
    <w:rsid w:val="00754C72"/>
    <w:rsid w:val="00754D64"/>
    <w:rsid w:val="00754E7B"/>
    <w:rsid w:val="00754F7B"/>
    <w:rsid w:val="0075609A"/>
    <w:rsid w:val="00756478"/>
    <w:rsid w:val="00756499"/>
    <w:rsid w:val="007568F7"/>
    <w:rsid w:val="00756D44"/>
    <w:rsid w:val="00756D73"/>
    <w:rsid w:val="00757168"/>
    <w:rsid w:val="007579C4"/>
    <w:rsid w:val="007601FE"/>
    <w:rsid w:val="007608B4"/>
    <w:rsid w:val="0076097D"/>
    <w:rsid w:val="00761153"/>
    <w:rsid w:val="00762B9F"/>
    <w:rsid w:val="00762C32"/>
    <w:rsid w:val="00763C85"/>
    <w:rsid w:val="00765C10"/>
    <w:rsid w:val="00765DBA"/>
    <w:rsid w:val="00766372"/>
    <w:rsid w:val="007669EE"/>
    <w:rsid w:val="00767208"/>
    <w:rsid w:val="007672D8"/>
    <w:rsid w:val="00767427"/>
    <w:rsid w:val="00767CF4"/>
    <w:rsid w:val="007704FE"/>
    <w:rsid w:val="0077148D"/>
    <w:rsid w:val="00771AAC"/>
    <w:rsid w:val="00772117"/>
    <w:rsid w:val="00772753"/>
    <w:rsid w:val="00773354"/>
    <w:rsid w:val="00773D3A"/>
    <w:rsid w:val="00773E4F"/>
    <w:rsid w:val="00774044"/>
    <w:rsid w:val="0077481E"/>
    <w:rsid w:val="00775438"/>
    <w:rsid w:val="00776016"/>
    <w:rsid w:val="00777438"/>
    <w:rsid w:val="00777CEA"/>
    <w:rsid w:val="00777DA3"/>
    <w:rsid w:val="00781126"/>
    <w:rsid w:val="00781765"/>
    <w:rsid w:val="00781BB6"/>
    <w:rsid w:val="007825EA"/>
    <w:rsid w:val="00782A67"/>
    <w:rsid w:val="00782E7D"/>
    <w:rsid w:val="007830A5"/>
    <w:rsid w:val="00783E58"/>
    <w:rsid w:val="00784610"/>
    <w:rsid w:val="00784E49"/>
    <w:rsid w:val="00784FE8"/>
    <w:rsid w:val="00785115"/>
    <w:rsid w:val="007851FB"/>
    <w:rsid w:val="0078610B"/>
    <w:rsid w:val="0078665C"/>
    <w:rsid w:val="00787480"/>
    <w:rsid w:val="00787D52"/>
    <w:rsid w:val="00790A6D"/>
    <w:rsid w:val="0079180C"/>
    <w:rsid w:val="00792F43"/>
    <w:rsid w:val="007931A7"/>
    <w:rsid w:val="00793698"/>
    <w:rsid w:val="00793BC3"/>
    <w:rsid w:val="00794598"/>
    <w:rsid w:val="00795298"/>
    <w:rsid w:val="0079618A"/>
    <w:rsid w:val="007964D2"/>
    <w:rsid w:val="00796F76"/>
    <w:rsid w:val="00797670"/>
    <w:rsid w:val="00797B93"/>
    <w:rsid w:val="00797C21"/>
    <w:rsid w:val="007A04A2"/>
    <w:rsid w:val="007A1320"/>
    <w:rsid w:val="007A29E5"/>
    <w:rsid w:val="007A30C3"/>
    <w:rsid w:val="007A34B1"/>
    <w:rsid w:val="007A3AB4"/>
    <w:rsid w:val="007A3B94"/>
    <w:rsid w:val="007A3F9A"/>
    <w:rsid w:val="007A43BF"/>
    <w:rsid w:val="007A48BA"/>
    <w:rsid w:val="007A4A76"/>
    <w:rsid w:val="007A4B63"/>
    <w:rsid w:val="007A4EBA"/>
    <w:rsid w:val="007A54E5"/>
    <w:rsid w:val="007A62F7"/>
    <w:rsid w:val="007A6610"/>
    <w:rsid w:val="007A686E"/>
    <w:rsid w:val="007A6B21"/>
    <w:rsid w:val="007A6DCC"/>
    <w:rsid w:val="007A6F42"/>
    <w:rsid w:val="007A6FC7"/>
    <w:rsid w:val="007A7162"/>
    <w:rsid w:val="007A7C75"/>
    <w:rsid w:val="007B018D"/>
    <w:rsid w:val="007B0227"/>
    <w:rsid w:val="007B03CC"/>
    <w:rsid w:val="007B078E"/>
    <w:rsid w:val="007B0E97"/>
    <w:rsid w:val="007B1950"/>
    <w:rsid w:val="007B20B6"/>
    <w:rsid w:val="007B2948"/>
    <w:rsid w:val="007B2DDC"/>
    <w:rsid w:val="007B40B6"/>
    <w:rsid w:val="007B41F7"/>
    <w:rsid w:val="007B434A"/>
    <w:rsid w:val="007B4C68"/>
    <w:rsid w:val="007B5996"/>
    <w:rsid w:val="007B5BC4"/>
    <w:rsid w:val="007B5CDF"/>
    <w:rsid w:val="007B66D0"/>
    <w:rsid w:val="007B6DE0"/>
    <w:rsid w:val="007B7551"/>
    <w:rsid w:val="007B7CE9"/>
    <w:rsid w:val="007B7CFB"/>
    <w:rsid w:val="007C01AA"/>
    <w:rsid w:val="007C0505"/>
    <w:rsid w:val="007C0B9B"/>
    <w:rsid w:val="007C0E74"/>
    <w:rsid w:val="007C1106"/>
    <w:rsid w:val="007C15F8"/>
    <w:rsid w:val="007C1A1F"/>
    <w:rsid w:val="007C36E3"/>
    <w:rsid w:val="007C41FF"/>
    <w:rsid w:val="007C45E6"/>
    <w:rsid w:val="007C4A90"/>
    <w:rsid w:val="007C5C6A"/>
    <w:rsid w:val="007C6047"/>
    <w:rsid w:val="007C61C6"/>
    <w:rsid w:val="007C67D6"/>
    <w:rsid w:val="007C6AE7"/>
    <w:rsid w:val="007C6BFB"/>
    <w:rsid w:val="007C6ED7"/>
    <w:rsid w:val="007C6F07"/>
    <w:rsid w:val="007C6FB3"/>
    <w:rsid w:val="007D0B44"/>
    <w:rsid w:val="007D12D5"/>
    <w:rsid w:val="007D1969"/>
    <w:rsid w:val="007D1C93"/>
    <w:rsid w:val="007D2498"/>
    <w:rsid w:val="007D2F23"/>
    <w:rsid w:val="007D4068"/>
    <w:rsid w:val="007D4265"/>
    <w:rsid w:val="007D4E5F"/>
    <w:rsid w:val="007D4F13"/>
    <w:rsid w:val="007D590C"/>
    <w:rsid w:val="007D60B7"/>
    <w:rsid w:val="007D62CF"/>
    <w:rsid w:val="007D63AC"/>
    <w:rsid w:val="007D693B"/>
    <w:rsid w:val="007D6C9D"/>
    <w:rsid w:val="007D772D"/>
    <w:rsid w:val="007D78F0"/>
    <w:rsid w:val="007D79E6"/>
    <w:rsid w:val="007D7F31"/>
    <w:rsid w:val="007E0B48"/>
    <w:rsid w:val="007E0C6F"/>
    <w:rsid w:val="007E3ECE"/>
    <w:rsid w:val="007E4837"/>
    <w:rsid w:val="007E4FC2"/>
    <w:rsid w:val="007E64C8"/>
    <w:rsid w:val="007E6984"/>
    <w:rsid w:val="007E75C4"/>
    <w:rsid w:val="007E75EF"/>
    <w:rsid w:val="007E7BB9"/>
    <w:rsid w:val="007F0D1A"/>
    <w:rsid w:val="007F145D"/>
    <w:rsid w:val="007F1C76"/>
    <w:rsid w:val="007F2528"/>
    <w:rsid w:val="007F29A6"/>
    <w:rsid w:val="007F34B1"/>
    <w:rsid w:val="007F3794"/>
    <w:rsid w:val="007F3868"/>
    <w:rsid w:val="007F394D"/>
    <w:rsid w:val="007F3A6E"/>
    <w:rsid w:val="007F3F2A"/>
    <w:rsid w:val="007F4F0D"/>
    <w:rsid w:val="007F538A"/>
    <w:rsid w:val="007F586C"/>
    <w:rsid w:val="007F6085"/>
    <w:rsid w:val="007F6239"/>
    <w:rsid w:val="007F6C88"/>
    <w:rsid w:val="007F6D68"/>
    <w:rsid w:val="007F7A27"/>
    <w:rsid w:val="007F7D6E"/>
    <w:rsid w:val="007F7DC5"/>
    <w:rsid w:val="00800243"/>
    <w:rsid w:val="00800404"/>
    <w:rsid w:val="008009CF"/>
    <w:rsid w:val="00800A15"/>
    <w:rsid w:val="00800C4D"/>
    <w:rsid w:val="00800D56"/>
    <w:rsid w:val="00801321"/>
    <w:rsid w:val="008013E9"/>
    <w:rsid w:val="00801BFA"/>
    <w:rsid w:val="00801C41"/>
    <w:rsid w:val="0080264B"/>
    <w:rsid w:val="00802A4C"/>
    <w:rsid w:val="00802CFA"/>
    <w:rsid w:val="00802D20"/>
    <w:rsid w:val="00803464"/>
    <w:rsid w:val="00803560"/>
    <w:rsid w:val="00803684"/>
    <w:rsid w:val="00803D73"/>
    <w:rsid w:val="00803DB0"/>
    <w:rsid w:val="008041D3"/>
    <w:rsid w:val="00804DC0"/>
    <w:rsid w:val="008059A6"/>
    <w:rsid w:val="00805FC8"/>
    <w:rsid w:val="008063ED"/>
    <w:rsid w:val="008064B9"/>
    <w:rsid w:val="00807689"/>
    <w:rsid w:val="008078DC"/>
    <w:rsid w:val="00807959"/>
    <w:rsid w:val="00807F26"/>
    <w:rsid w:val="0081068C"/>
    <w:rsid w:val="00810CDF"/>
    <w:rsid w:val="008114E4"/>
    <w:rsid w:val="00811588"/>
    <w:rsid w:val="00811AB3"/>
    <w:rsid w:val="008126B1"/>
    <w:rsid w:val="008129C0"/>
    <w:rsid w:val="00812E04"/>
    <w:rsid w:val="00813C12"/>
    <w:rsid w:val="008140BC"/>
    <w:rsid w:val="0081428F"/>
    <w:rsid w:val="00814B81"/>
    <w:rsid w:val="00814F33"/>
    <w:rsid w:val="00815189"/>
    <w:rsid w:val="0081574E"/>
    <w:rsid w:val="00816A1F"/>
    <w:rsid w:val="00816AC9"/>
    <w:rsid w:val="00816D33"/>
    <w:rsid w:val="008204F9"/>
    <w:rsid w:val="00820BFB"/>
    <w:rsid w:val="00821181"/>
    <w:rsid w:val="00821BF9"/>
    <w:rsid w:val="00821DA0"/>
    <w:rsid w:val="00821EAC"/>
    <w:rsid w:val="00822495"/>
    <w:rsid w:val="008225F1"/>
    <w:rsid w:val="00822A69"/>
    <w:rsid w:val="00822CD7"/>
    <w:rsid w:val="00822F0B"/>
    <w:rsid w:val="0082317F"/>
    <w:rsid w:val="0082365B"/>
    <w:rsid w:val="00823816"/>
    <w:rsid w:val="00823FC9"/>
    <w:rsid w:val="008244A6"/>
    <w:rsid w:val="0082452F"/>
    <w:rsid w:val="0082456A"/>
    <w:rsid w:val="00824D4B"/>
    <w:rsid w:val="008254B3"/>
    <w:rsid w:val="008261B3"/>
    <w:rsid w:val="00826D8C"/>
    <w:rsid w:val="00826F0B"/>
    <w:rsid w:val="00830AB4"/>
    <w:rsid w:val="00830E38"/>
    <w:rsid w:val="00831449"/>
    <w:rsid w:val="00831873"/>
    <w:rsid w:val="00831D61"/>
    <w:rsid w:val="00831F6A"/>
    <w:rsid w:val="00832CBF"/>
    <w:rsid w:val="008337F2"/>
    <w:rsid w:val="0083437F"/>
    <w:rsid w:val="0083476A"/>
    <w:rsid w:val="00834A10"/>
    <w:rsid w:val="00835A52"/>
    <w:rsid w:val="00835B28"/>
    <w:rsid w:val="008363D8"/>
    <w:rsid w:val="008365CB"/>
    <w:rsid w:val="00837344"/>
    <w:rsid w:val="0083780F"/>
    <w:rsid w:val="00837893"/>
    <w:rsid w:val="00837EBA"/>
    <w:rsid w:val="00840092"/>
    <w:rsid w:val="0084048D"/>
    <w:rsid w:val="008410F8"/>
    <w:rsid w:val="0084123B"/>
    <w:rsid w:val="00841B75"/>
    <w:rsid w:val="00841D11"/>
    <w:rsid w:val="008422FE"/>
    <w:rsid w:val="0084262C"/>
    <w:rsid w:val="00842B1B"/>
    <w:rsid w:val="00842E4B"/>
    <w:rsid w:val="00843BDF"/>
    <w:rsid w:val="00844584"/>
    <w:rsid w:val="00844A97"/>
    <w:rsid w:val="00845BAD"/>
    <w:rsid w:val="0084624D"/>
    <w:rsid w:val="0084680D"/>
    <w:rsid w:val="00846BA5"/>
    <w:rsid w:val="00846C1C"/>
    <w:rsid w:val="008475F1"/>
    <w:rsid w:val="008475FF"/>
    <w:rsid w:val="00847ECC"/>
    <w:rsid w:val="00850141"/>
    <w:rsid w:val="008503CF"/>
    <w:rsid w:val="008527C0"/>
    <w:rsid w:val="00852943"/>
    <w:rsid w:val="00852BD8"/>
    <w:rsid w:val="00852DEF"/>
    <w:rsid w:val="00852F88"/>
    <w:rsid w:val="00853CD7"/>
    <w:rsid w:val="00854F16"/>
    <w:rsid w:val="0085503C"/>
    <w:rsid w:val="0085552C"/>
    <w:rsid w:val="00855B9E"/>
    <w:rsid w:val="00855F41"/>
    <w:rsid w:val="008562EC"/>
    <w:rsid w:val="008564EB"/>
    <w:rsid w:val="008565FA"/>
    <w:rsid w:val="00856A25"/>
    <w:rsid w:val="008570F7"/>
    <w:rsid w:val="0085757A"/>
    <w:rsid w:val="00860781"/>
    <w:rsid w:val="00860A93"/>
    <w:rsid w:val="00860C9B"/>
    <w:rsid w:val="00860CA2"/>
    <w:rsid w:val="008616B5"/>
    <w:rsid w:val="008627F9"/>
    <w:rsid w:val="0086292A"/>
    <w:rsid w:val="00862D8F"/>
    <w:rsid w:val="00862E2B"/>
    <w:rsid w:val="00862FE5"/>
    <w:rsid w:val="00863BFA"/>
    <w:rsid w:val="00864139"/>
    <w:rsid w:val="0086442E"/>
    <w:rsid w:val="00864899"/>
    <w:rsid w:val="00864CD0"/>
    <w:rsid w:val="0086511D"/>
    <w:rsid w:val="0086535E"/>
    <w:rsid w:val="008654FE"/>
    <w:rsid w:val="00865BFE"/>
    <w:rsid w:val="008660B6"/>
    <w:rsid w:val="00866AFD"/>
    <w:rsid w:val="00867401"/>
    <w:rsid w:val="0086771C"/>
    <w:rsid w:val="00867737"/>
    <w:rsid w:val="00867AB2"/>
    <w:rsid w:val="00870125"/>
    <w:rsid w:val="0087086F"/>
    <w:rsid w:val="00871864"/>
    <w:rsid w:val="0087220D"/>
    <w:rsid w:val="00872714"/>
    <w:rsid w:val="00872932"/>
    <w:rsid w:val="008737BA"/>
    <w:rsid w:val="0087402A"/>
    <w:rsid w:val="00874122"/>
    <w:rsid w:val="00874486"/>
    <w:rsid w:val="00875A46"/>
    <w:rsid w:val="00876411"/>
    <w:rsid w:val="00876492"/>
    <w:rsid w:val="0087655E"/>
    <w:rsid w:val="008767DD"/>
    <w:rsid w:val="008772F7"/>
    <w:rsid w:val="00877E34"/>
    <w:rsid w:val="008805E6"/>
    <w:rsid w:val="00880AFA"/>
    <w:rsid w:val="00881655"/>
    <w:rsid w:val="00881830"/>
    <w:rsid w:val="00882553"/>
    <w:rsid w:val="0088280F"/>
    <w:rsid w:val="0088372E"/>
    <w:rsid w:val="0088403F"/>
    <w:rsid w:val="00884676"/>
    <w:rsid w:val="008851FB"/>
    <w:rsid w:val="00885799"/>
    <w:rsid w:val="008857F2"/>
    <w:rsid w:val="0088587B"/>
    <w:rsid w:val="0088629D"/>
    <w:rsid w:val="008864C0"/>
    <w:rsid w:val="00887BCA"/>
    <w:rsid w:val="008903D2"/>
    <w:rsid w:val="0089057E"/>
    <w:rsid w:val="008905CD"/>
    <w:rsid w:val="008910DF"/>
    <w:rsid w:val="00892004"/>
    <w:rsid w:val="0089241C"/>
    <w:rsid w:val="00892F2D"/>
    <w:rsid w:val="008934E2"/>
    <w:rsid w:val="00893673"/>
    <w:rsid w:val="00893B3F"/>
    <w:rsid w:val="00893DFC"/>
    <w:rsid w:val="008940E2"/>
    <w:rsid w:val="008941C8"/>
    <w:rsid w:val="00894B4C"/>
    <w:rsid w:val="00894CA0"/>
    <w:rsid w:val="00894D18"/>
    <w:rsid w:val="00894F26"/>
    <w:rsid w:val="008955B0"/>
    <w:rsid w:val="00895BED"/>
    <w:rsid w:val="0089613D"/>
    <w:rsid w:val="00896798"/>
    <w:rsid w:val="00896986"/>
    <w:rsid w:val="00896BC3"/>
    <w:rsid w:val="00896C96"/>
    <w:rsid w:val="00896D20"/>
    <w:rsid w:val="0089714D"/>
    <w:rsid w:val="00897267"/>
    <w:rsid w:val="00897503"/>
    <w:rsid w:val="00897565"/>
    <w:rsid w:val="008A0012"/>
    <w:rsid w:val="008A0065"/>
    <w:rsid w:val="008A0E38"/>
    <w:rsid w:val="008A1E7B"/>
    <w:rsid w:val="008A21C1"/>
    <w:rsid w:val="008A3AFD"/>
    <w:rsid w:val="008A405B"/>
    <w:rsid w:val="008A407B"/>
    <w:rsid w:val="008A5515"/>
    <w:rsid w:val="008A5C4B"/>
    <w:rsid w:val="008A66F7"/>
    <w:rsid w:val="008A6985"/>
    <w:rsid w:val="008A6C5C"/>
    <w:rsid w:val="008A6F76"/>
    <w:rsid w:val="008A7306"/>
    <w:rsid w:val="008A74E6"/>
    <w:rsid w:val="008A7857"/>
    <w:rsid w:val="008A7DF5"/>
    <w:rsid w:val="008B02E7"/>
    <w:rsid w:val="008B036D"/>
    <w:rsid w:val="008B1ACF"/>
    <w:rsid w:val="008B2C98"/>
    <w:rsid w:val="008B32DA"/>
    <w:rsid w:val="008B3329"/>
    <w:rsid w:val="008B346A"/>
    <w:rsid w:val="008B35D5"/>
    <w:rsid w:val="008B3D6F"/>
    <w:rsid w:val="008B3ECF"/>
    <w:rsid w:val="008B4190"/>
    <w:rsid w:val="008B489F"/>
    <w:rsid w:val="008B4905"/>
    <w:rsid w:val="008B4C5D"/>
    <w:rsid w:val="008B4E30"/>
    <w:rsid w:val="008B5374"/>
    <w:rsid w:val="008B6668"/>
    <w:rsid w:val="008B7E11"/>
    <w:rsid w:val="008B7E44"/>
    <w:rsid w:val="008C038C"/>
    <w:rsid w:val="008C1262"/>
    <w:rsid w:val="008C25E1"/>
    <w:rsid w:val="008C2E87"/>
    <w:rsid w:val="008C3B0B"/>
    <w:rsid w:val="008C4537"/>
    <w:rsid w:val="008C45D9"/>
    <w:rsid w:val="008C4CA1"/>
    <w:rsid w:val="008C4D81"/>
    <w:rsid w:val="008C4E84"/>
    <w:rsid w:val="008C52C3"/>
    <w:rsid w:val="008C65C4"/>
    <w:rsid w:val="008C6822"/>
    <w:rsid w:val="008C699F"/>
    <w:rsid w:val="008C6A47"/>
    <w:rsid w:val="008C6FA8"/>
    <w:rsid w:val="008C6FF3"/>
    <w:rsid w:val="008D2060"/>
    <w:rsid w:val="008D216B"/>
    <w:rsid w:val="008D21CE"/>
    <w:rsid w:val="008D28CB"/>
    <w:rsid w:val="008D3EAD"/>
    <w:rsid w:val="008D5872"/>
    <w:rsid w:val="008D5A82"/>
    <w:rsid w:val="008D707A"/>
    <w:rsid w:val="008D71B7"/>
    <w:rsid w:val="008D798B"/>
    <w:rsid w:val="008D7A60"/>
    <w:rsid w:val="008D7BF0"/>
    <w:rsid w:val="008E0616"/>
    <w:rsid w:val="008E18D0"/>
    <w:rsid w:val="008E1A2E"/>
    <w:rsid w:val="008E1FE7"/>
    <w:rsid w:val="008E2722"/>
    <w:rsid w:val="008E31A1"/>
    <w:rsid w:val="008E31AD"/>
    <w:rsid w:val="008E3C29"/>
    <w:rsid w:val="008E5051"/>
    <w:rsid w:val="008E50CE"/>
    <w:rsid w:val="008E57B5"/>
    <w:rsid w:val="008E5AB1"/>
    <w:rsid w:val="008E6696"/>
    <w:rsid w:val="008E670B"/>
    <w:rsid w:val="008E68F0"/>
    <w:rsid w:val="008E6A62"/>
    <w:rsid w:val="008E6B71"/>
    <w:rsid w:val="008E6ECA"/>
    <w:rsid w:val="008E7174"/>
    <w:rsid w:val="008F010D"/>
    <w:rsid w:val="008F0627"/>
    <w:rsid w:val="008F0628"/>
    <w:rsid w:val="008F11BB"/>
    <w:rsid w:val="008F14B0"/>
    <w:rsid w:val="008F157C"/>
    <w:rsid w:val="008F1821"/>
    <w:rsid w:val="008F1DDB"/>
    <w:rsid w:val="008F1FE8"/>
    <w:rsid w:val="008F21B1"/>
    <w:rsid w:val="008F2A69"/>
    <w:rsid w:val="008F2B2B"/>
    <w:rsid w:val="008F2B6E"/>
    <w:rsid w:val="008F2B92"/>
    <w:rsid w:val="008F3AFF"/>
    <w:rsid w:val="008F3E3A"/>
    <w:rsid w:val="008F4C7E"/>
    <w:rsid w:val="008F4E2D"/>
    <w:rsid w:val="008F5D27"/>
    <w:rsid w:val="008F659B"/>
    <w:rsid w:val="008F6BA7"/>
    <w:rsid w:val="008F6C26"/>
    <w:rsid w:val="008F6DD9"/>
    <w:rsid w:val="008F6F7C"/>
    <w:rsid w:val="008F7473"/>
    <w:rsid w:val="008F756A"/>
    <w:rsid w:val="008F77DC"/>
    <w:rsid w:val="008F78CD"/>
    <w:rsid w:val="00900435"/>
    <w:rsid w:val="0090181C"/>
    <w:rsid w:val="00901B55"/>
    <w:rsid w:val="0090277B"/>
    <w:rsid w:val="00902AEA"/>
    <w:rsid w:val="00902BAF"/>
    <w:rsid w:val="009035B5"/>
    <w:rsid w:val="0090388D"/>
    <w:rsid w:val="00903980"/>
    <w:rsid w:val="00903AE1"/>
    <w:rsid w:val="00903B95"/>
    <w:rsid w:val="00903EB0"/>
    <w:rsid w:val="0090420F"/>
    <w:rsid w:val="00904EED"/>
    <w:rsid w:val="009068E0"/>
    <w:rsid w:val="009069A4"/>
    <w:rsid w:val="00906C5F"/>
    <w:rsid w:val="00907C7F"/>
    <w:rsid w:val="00907EB5"/>
    <w:rsid w:val="00910278"/>
    <w:rsid w:val="009102FC"/>
    <w:rsid w:val="009108BD"/>
    <w:rsid w:val="00910FFD"/>
    <w:rsid w:val="009113A2"/>
    <w:rsid w:val="009116F2"/>
    <w:rsid w:val="00911734"/>
    <w:rsid w:val="00911E7A"/>
    <w:rsid w:val="00912215"/>
    <w:rsid w:val="00912413"/>
    <w:rsid w:val="0091284F"/>
    <w:rsid w:val="00912AC9"/>
    <w:rsid w:val="00912EAD"/>
    <w:rsid w:val="009130F5"/>
    <w:rsid w:val="009136AF"/>
    <w:rsid w:val="00913B22"/>
    <w:rsid w:val="00913CEC"/>
    <w:rsid w:val="00913FC2"/>
    <w:rsid w:val="00914B6D"/>
    <w:rsid w:val="00914B6E"/>
    <w:rsid w:val="00916183"/>
    <w:rsid w:val="00916AC5"/>
    <w:rsid w:val="00916FB6"/>
    <w:rsid w:val="00917A23"/>
    <w:rsid w:val="00917A8A"/>
    <w:rsid w:val="009201D0"/>
    <w:rsid w:val="00920CD3"/>
    <w:rsid w:val="0092118A"/>
    <w:rsid w:val="00921954"/>
    <w:rsid w:val="00921A7D"/>
    <w:rsid w:val="00921D4B"/>
    <w:rsid w:val="00922648"/>
    <w:rsid w:val="00922A3D"/>
    <w:rsid w:val="00922D41"/>
    <w:rsid w:val="009230BC"/>
    <w:rsid w:val="00923674"/>
    <w:rsid w:val="009239CF"/>
    <w:rsid w:val="00923B4A"/>
    <w:rsid w:val="00923B98"/>
    <w:rsid w:val="00924D22"/>
    <w:rsid w:val="00925A7D"/>
    <w:rsid w:val="00925CF2"/>
    <w:rsid w:val="00925D5B"/>
    <w:rsid w:val="00925D73"/>
    <w:rsid w:val="00925E08"/>
    <w:rsid w:val="0092615E"/>
    <w:rsid w:val="009268C0"/>
    <w:rsid w:val="00926968"/>
    <w:rsid w:val="00926984"/>
    <w:rsid w:val="00926D3E"/>
    <w:rsid w:val="00926F3F"/>
    <w:rsid w:val="00927509"/>
    <w:rsid w:val="009277F6"/>
    <w:rsid w:val="00927AB7"/>
    <w:rsid w:val="009313BB"/>
    <w:rsid w:val="00931C8D"/>
    <w:rsid w:val="00931F0C"/>
    <w:rsid w:val="00932A37"/>
    <w:rsid w:val="00932FF7"/>
    <w:rsid w:val="00933CC3"/>
    <w:rsid w:val="00934D0F"/>
    <w:rsid w:val="00935E61"/>
    <w:rsid w:val="00935F8E"/>
    <w:rsid w:val="00936597"/>
    <w:rsid w:val="009368C4"/>
    <w:rsid w:val="00936973"/>
    <w:rsid w:val="0093727C"/>
    <w:rsid w:val="009373CC"/>
    <w:rsid w:val="00937C46"/>
    <w:rsid w:val="00937FD6"/>
    <w:rsid w:val="009400F5"/>
    <w:rsid w:val="00940442"/>
    <w:rsid w:val="00941CC2"/>
    <w:rsid w:val="009426A0"/>
    <w:rsid w:val="00942A4A"/>
    <w:rsid w:val="00943688"/>
    <w:rsid w:val="00943B5E"/>
    <w:rsid w:val="00943FA8"/>
    <w:rsid w:val="009440D6"/>
    <w:rsid w:val="00944438"/>
    <w:rsid w:val="00944769"/>
    <w:rsid w:val="00944D94"/>
    <w:rsid w:val="009455D5"/>
    <w:rsid w:val="00945816"/>
    <w:rsid w:val="00946369"/>
    <w:rsid w:val="0094656A"/>
    <w:rsid w:val="009472C4"/>
    <w:rsid w:val="009475B3"/>
    <w:rsid w:val="00950925"/>
    <w:rsid w:val="00951838"/>
    <w:rsid w:val="00951FD4"/>
    <w:rsid w:val="0095269B"/>
    <w:rsid w:val="009528AB"/>
    <w:rsid w:val="0095378B"/>
    <w:rsid w:val="00953896"/>
    <w:rsid w:val="00953E54"/>
    <w:rsid w:val="009543B9"/>
    <w:rsid w:val="00954624"/>
    <w:rsid w:val="00955459"/>
    <w:rsid w:val="00955B1B"/>
    <w:rsid w:val="00955B4A"/>
    <w:rsid w:val="0095606E"/>
    <w:rsid w:val="00956135"/>
    <w:rsid w:val="0095648C"/>
    <w:rsid w:val="00956624"/>
    <w:rsid w:val="00956A12"/>
    <w:rsid w:val="00956DB4"/>
    <w:rsid w:val="00957AE1"/>
    <w:rsid w:val="009604F8"/>
    <w:rsid w:val="0096050A"/>
    <w:rsid w:val="00960C3A"/>
    <w:rsid w:val="00960D46"/>
    <w:rsid w:val="009614AD"/>
    <w:rsid w:val="0096173E"/>
    <w:rsid w:val="00961C0A"/>
    <w:rsid w:val="00961CEF"/>
    <w:rsid w:val="009628E1"/>
    <w:rsid w:val="0096387E"/>
    <w:rsid w:val="009640AE"/>
    <w:rsid w:val="009641B5"/>
    <w:rsid w:val="009647FA"/>
    <w:rsid w:val="00964BAC"/>
    <w:rsid w:val="00964D7E"/>
    <w:rsid w:val="00964ECD"/>
    <w:rsid w:val="00965710"/>
    <w:rsid w:val="00965FD0"/>
    <w:rsid w:val="0096653F"/>
    <w:rsid w:val="00966B1E"/>
    <w:rsid w:val="00967226"/>
    <w:rsid w:val="00967261"/>
    <w:rsid w:val="009679E4"/>
    <w:rsid w:val="009700D0"/>
    <w:rsid w:val="009710E3"/>
    <w:rsid w:val="00971404"/>
    <w:rsid w:val="00971C6F"/>
    <w:rsid w:val="00972A5A"/>
    <w:rsid w:val="00972E39"/>
    <w:rsid w:val="00973263"/>
    <w:rsid w:val="009739B8"/>
    <w:rsid w:val="00973FE7"/>
    <w:rsid w:val="009742DD"/>
    <w:rsid w:val="0097448C"/>
    <w:rsid w:val="0097462B"/>
    <w:rsid w:val="009746AB"/>
    <w:rsid w:val="00974882"/>
    <w:rsid w:val="0097576C"/>
    <w:rsid w:val="00975A21"/>
    <w:rsid w:val="00975CD9"/>
    <w:rsid w:val="00975E24"/>
    <w:rsid w:val="00976249"/>
    <w:rsid w:val="0097702E"/>
    <w:rsid w:val="00977183"/>
    <w:rsid w:val="00977AF6"/>
    <w:rsid w:val="0098041C"/>
    <w:rsid w:val="00980475"/>
    <w:rsid w:val="00980A02"/>
    <w:rsid w:val="00980D3D"/>
    <w:rsid w:val="009816BD"/>
    <w:rsid w:val="00983DF6"/>
    <w:rsid w:val="00984BFE"/>
    <w:rsid w:val="009860B2"/>
    <w:rsid w:val="00987D4D"/>
    <w:rsid w:val="00987E46"/>
    <w:rsid w:val="00987F44"/>
    <w:rsid w:val="009900A2"/>
    <w:rsid w:val="009902C3"/>
    <w:rsid w:val="0099062C"/>
    <w:rsid w:val="00990FB6"/>
    <w:rsid w:val="00991406"/>
    <w:rsid w:val="00992705"/>
    <w:rsid w:val="0099378F"/>
    <w:rsid w:val="009939F1"/>
    <w:rsid w:val="00993C9C"/>
    <w:rsid w:val="00993EC5"/>
    <w:rsid w:val="00994718"/>
    <w:rsid w:val="00994EE2"/>
    <w:rsid w:val="00996C37"/>
    <w:rsid w:val="00997684"/>
    <w:rsid w:val="00997757"/>
    <w:rsid w:val="009A0568"/>
    <w:rsid w:val="009A0919"/>
    <w:rsid w:val="009A0C92"/>
    <w:rsid w:val="009A119A"/>
    <w:rsid w:val="009A1223"/>
    <w:rsid w:val="009A1721"/>
    <w:rsid w:val="009A1B98"/>
    <w:rsid w:val="009A3B27"/>
    <w:rsid w:val="009A479F"/>
    <w:rsid w:val="009A4827"/>
    <w:rsid w:val="009A4928"/>
    <w:rsid w:val="009A5916"/>
    <w:rsid w:val="009A59D7"/>
    <w:rsid w:val="009A6474"/>
    <w:rsid w:val="009A69BA"/>
    <w:rsid w:val="009A74E0"/>
    <w:rsid w:val="009A784B"/>
    <w:rsid w:val="009B04B4"/>
    <w:rsid w:val="009B09BF"/>
    <w:rsid w:val="009B0FA7"/>
    <w:rsid w:val="009B1E77"/>
    <w:rsid w:val="009B2A2C"/>
    <w:rsid w:val="009B3881"/>
    <w:rsid w:val="009B3F9E"/>
    <w:rsid w:val="009B3FE3"/>
    <w:rsid w:val="009B4301"/>
    <w:rsid w:val="009B4744"/>
    <w:rsid w:val="009B4916"/>
    <w:rsid w:val="009B4D7D"/>
    <w:rsid w:val="009B575C"/>
    <w:rsid w:val="009B5957"/>
    <w:rsid w:val="009B6EE4"/>
    <w:rsid w:val="009B70D4"/>
    <w:rsid w:val="009B78BA"/>
    <w:rsid w:val="009C066C"/>
    <w:rsid w:val="009C0C73"/>
    <w:rsid w:val="009C2ACA"/>
    <w:rsid w:val="009C376F"/>
    <w:rsid w:val="009C3AC2"/>
    <w:rsid w:val="009C450D"/>
    <w:rsid w:val="009C45E0"/>
    <w:rsid w:val="009C4770"/>
    <w:rsid w:val="009C5711"/>
    <w:rsid w:val="009C5875"/>
    <w:rsid w:val="009C5B31"/>
    <w:rsid w:val="009C5D36"/>
    <w:rsid w:val="009C6C52"/>
    <w:rsid w:val="009C6D0D"/>
    <w:rsid w:val="009C73A6"/>
    <w:rsid w:val="009C7D36"/>
    <w:rsid w:val="009D01AF"/>
    <w:rsid w:val="009D1147"/>
    <w:rsid w:val="009D11FB"/>
    <w:rsid w:val="009D146E"/>
    <w:rsid w:val="009D180A"/>
    <w:rsid w:val="009D1A6C"/>
    <w:rsid w:val="009D2691"/>
    <w:rsid w:val="009D3061"/>
    <w:rsid w:val="009D3259"/>
    <w:rsid w:val="009D34DE"/>
    <w:rsid w:val="009D3DD4"/>
    <w:rsid w:val="009D4381"/>
    <w:rsid w:val="009D4A54"/>
    <w:rsid w:val="009D4C4D"/>
    <w:rsid w:val="009D4ED4"/>
    <w:rsid w:val="009D548A"/>
    <w:rsid w:val="009D548D"/>
    <w:rsid w:val="009D54E3"/>
    <w:rsid w:val="009D5814"/>
    <w:rsid w:val="009D5E31"/>
    <w:rsid w:val="009D641A"/>
    <w:rsid w:val="009D6DDE"/>
    <w:rsid w:val="009D71B4"/>
    <w:rsid w:val="009D7782"/>
    <w:rsid w:val="009D7B07"/>
    <w:rsid w:val="009E00BA"/>
    <w:rsid w:val="009E15DC"/>
    <w:rsid w:val="009E19DF"/>
    <w:rsid w:val="009E1C05"/>
    <w:rsid w:val="009E1D96"/>
    <w:rsid w:val="009E1FBD"/>
    <w:rsid w:val="009E2132"/>
    <w:rsid w:val="009E3846"/>
    <w:rsid w:val="009E39F9"/>
    <w:rsid w:val="009E3ABC"/>
    <w:rsid w:val="009E3D27"/>
    <w:rsid w:val="009E49D4"/>
    <w:rsid w:val="009E4FA7"/>
    <w:rsid w:val="009E5CF7"/>
    <w:rsid w:val="009E5CFD"/>
    <w:rsid w:val="009E6190"/>
    <w:rsid w:val="009E66F8"/>
    <w:rsid w:val="009E69E7"/>
    <w:rsid w:val="009E6A16"/>
    <w:rsid w:val="009E6B9D"/>
    <w:rsid w:val="009E6CD6"/>
    <w:rsid w:val="009E6DFF"/>
    <w:rsid w:val="009E7B13"/>
    <w:rsid w:val="009E7BCA"/>
    <w:rsid w:val="009E7F0B"/>
    <w:rsid w:val="009E7F66"/>
    <w:rsid w:val="009F016A"/>
    <w:rsid w:val="009F01A9"/>
    <w:rsid w:val="009F07A4"/>
    <w:rsid w:val="009F11F5"/>
    <w:rsid w:val="009F13B3"/>
    <w:rsid w:val="009F1575"/>
    <w:rsid w:val="009F1B40"/>
    <w:rsid w:val="009F21D3"/>
    <w:rsid w:val="009F28A4"/>
    <w:rsid w:val="009F2A0E"/>
    <w:rsid w:val="009F3079"/>
    <w:rsid w:val="009F3355"/>
    <w:rsid w:val="009F3812"/>
    <w:rsid w:val="009F4EDD"/>
    <w:rsid w:val="009F55B7"/>
    <w:rsid w:val="009F6CE4"/>
    <w:rsid w:val="009F712E"/>
    <w:rsid w:val="009F7398"/>
    <w:rsid w:val="009F7F94"/>
    <w:rsid w:val="00A00599"/>
    <w:rsid w:val="00A0115B"/>
    <w:rsid w:val="00A01FAA"/>
    <w:rsid w:val="00A02CCB"/>
    <w:rsid w:val="00A039C2"/>
    <w:rsid w:val="00A0451F"/>
    <w:rsid w:val="00A04CFF"/>
    <w:rsid w:val="00A04ED0"/>
    <w:rsid w:val="00A05BCB"/>
    <w:rsid w:val="00A05E31"/>
    <w:rsid w:val="00A0674F"/>
    <w:rsid w:val="00A06AFB"/>
    <w:rsid w:val="00A06ECE"/>
    <w:rsid w:val="00A06FDA"/>
    <w:rsid w:val="00A0782B"/>
    <w:rsid w:val="00A07A5F"/>
    <w:rsid w:val="00A07BA3"/>
    <w:rsid w:val="00A07BF3"/>
    <w:rsid w:val="00A07EF2"/>
    <w:rsid w:val="00A10155"/>
    <w:rsid w:val="00A11C08"/>
    <w:rsid w:val="00A11C36"/>
    <w:rsid w:val="00A11E87"/>
    <w:rsid w:val="00A11F7D"/>
    <w:rsid w:val="00A13735"/>
    <w:rsid w:val="00A138FA"/>
    <w:rsid w:val="00A13E8C"/>
    <w:rsid w:val="00A14014"/>
    <w:rsid w:val="00A15253"/>
    <w:rsid w:val="00A15635"/>
    <w:rsid w:val="00A15744"/>
    <w:rsid w:val="00A16D0B"/>
    <w:rsid w:val="00A17D7E"/>
    <w:rsid w:val="00A204F5"/>
    <w:rsid w:val="00A20618"/>
    <w:rsid w:val="00A21339"/>
    <w:rsid w:val="00A21C68"/>
    <w:rsid w:val="00A2240F"/>
    <w:rsid w:val="00A22742"/>
    <w:rsid w:val="00A23EB0"/>
    <w:rsid w:val="00A24ABE"/>
    <w:rsid w:val="00A24BD1"/>
    <w:rsid w:val="00A25D84"/>
    <w:rsid w:val="00A264FA"/>
    <w:rsid w:val="00A26602"/>
    <w:rsid w:val="00A26677"/>
    <w:rsid w:val="00A26B1F"/>
    <w:rsid w:val="00A2734A"/>
    <w:rsid w:val="00A27572"/>
    <w:rsid w:val="00A27977"/>
    <w:rsid w:val="00A300CE"/>
    <w:rsid w:val="00A30190"/>
    <w:rsid w:val="00A30313"/>
    <w:rsid w:val="00A309F0"/>
    <w:rsid w:val="00A30AC2"/>
    <w:rsid w:val="00A30FC3"/>
    <w:rsid w:val="00A313A6"/>
    <w:rsid w:val="00A31B5C"/>
    <w:rsid w:val="00A322CA"/>
    <w:rsid w:val="00A32E14"/>
    <w:rsid w:val="00A32E27"/>
    <w:rsid w:val="00A32EFF"/>
    <w:rsid w:val="00A3326D"/>
    <w:rsid w:val="00A335F4"/>
    <w:rsid w:val="00A3367F"/>
    <w:rsid w:val="00A33732"/>
    <w:rsid w:val="00A33F90"/>
    <w:rsid w:val="00A3423A"/>
    <w:rsid w:val="00A34581"/>
    <w:rsid w:val="00A34BDE"/>
    <w:rsid w:val="00A34E95"/>
    <w:rsid w:val="00A35E17"/>
    <w:rsid w:val="00A361DA"/>
    <w:rsid w:val="00A363D7"/>
    <w:rsid w:val="00A372E3"/>
    <w:rsid w:val="00A37A7F"/>
    <w:rsid w:val="00A37B6A"/>
    <w:rsid w:val="00A401B0"/>
    <w:rsid w:val="00A4020B"/>
    <w:rsid w:val="00A40F81"/>
    <w:rsid w:val="00A410BC"/>
    <w:rsid w:val="00A41850"/>
    <w:rsid w:val="00A41999"/>
    <w:rsid w:val="00A423B9"/>
    <w:rsid w:val="00A42D8B"/>
    <w:rsid w:val="00A42E82"/>
    <w:rsid w:val="00A438B2"/>
    <w:rsid w:val="00A43BA1"/>
    <w:rsid w:val="00A43D82"/>
    <w:rsid w:val="00A45E1B"/>
    <w:rsid w:val="00A461C6"/>
    <w:rsid w:val="00A47DF9"/>
    <w:rsid w:val="00A47F05"/>
    <w:rsid w:val="00A50CD9"/>
    <w:rsid w:val="00A510FB"/>
    <w:rsid w:val="00A514F9"/>
    <w:rsid w:val="00A51794"/>
    <w:rsid w:val="00A51DB4"/>
    <w:rsid w:val="00A5229A"/>
    <w:rsid w:val="00A5248D"/>
    <w:rsid w:val="00A54125"/>
    <w:rsid w:val="00A542CF"/>
    <w:rsid w:val="00A54AE5"/>
    <w:rsid w:val="00A55392"/>
    <w:rsid w:val="00A55A00"/>
    <w:rsid w:val="00A55BBB"/>
    <w:rsid w:val="00A602BC"/>
    <w:rsid w:val="00A610BB"/>
    <w:rsid w:val="00A6215E"/>
    <w:rsid w:val="00A6216F"/>
    <w:rsid w:val="00A62479"/>
    <w:rsid w:val="00A62672"/>
    <w:rsid w:val="00A62802"/>
    <w:rsid w:val="00A62C9E"/>
    <w:rsid w:val="00A62DFC"/>
    <w:rsid w:val="00A63520"/>
    <w:rsid w:val="00A63975"/>
    <w:rsid w:val="00A639AE"/>
    <w:rsid w:val="00A641BF"/>
    <w:rsid w:val="00A64641"/>
    <w:rsid w:val="00A64EFD"/>
    <w:rsid w:val="00A65284"/>
    <w:rsid w:val="00A65357"/>
    <w:rsid w:val="00A65CED"/>
    <w:rsid w:val="00A65E17"/>
    <w:rsid w:val="00A65EB1"/>
    <w:rsid w:val="00A66D30"/>
    <w:rsid w:val="00A670B9"/>
    <w:rsid w:val="00A67277"/>
    <w:rsid w:val="00A675EB"/>
    <w:rsid w:val="00A67CF2"/>
    <w:rsid w:val="00A67EEB"/>
    <w:rsid w:val="00A70018"/>
    <w:rsid w:val="00A7009D"/>
    <w:rsid w:val="00A708E7"/>
    <w:rsid w:val="00A70DDD"/>
    <w:rsid w:val="00A710C8"/>
    <w:rsid w:val="00A72742"/>
    <w:rsid w:val="00A73131"/>
    <w:rsid w:val="00A743B8"/>
    <w:rsid w:val="00A746ED"/>
    <w:rsid w:val="00A74E50"/>
    <w:rsid w:val="00A7569B"/>
    <w:rsid w:val="00A75C10"/>
    <w:rsid w:val="00A7626B"/>
    <w:rsid w:val="00A767C8"/>
    <w:rsid w:val="00A76A3A"/>
    <w:rsid w:val="00A76BB8"/>
    <w:rsid w:val="00A76E4D"/>
    <w:rsid w:val="00A7711B"/>
    <w:rsid w:val="00A77265"/>
    <w:rsid w:val="00A80091"/>
    <w:rsid w:val="00A800E6"/>
    <w:rsid w:val="00A806D8"/>
    <w:rsid w:val="00A80D71"/>
    <w:rsid w:val="00A8134A"/>
    <w:rsid w:val="00A81A93"/>
    <w:rsid w:val="00A81D4D"/>
    <w:rsid w:val="00A82B90"/>
    <w:rsid w:val="00A83793"/>
    <w:rsid w:val="00A839E1"/>
    <w:rsid w:val="00A83D40"/>
    <w:rsid w:val="00A844C6"/>
    <w:rsid w:val="00A84E00"/>
    <w:rsid w:val="00A84F45"/>
    <w:rsid w:val="00A8501D"/>
    <w:rsid w:val="00A85715"/>
    <w:rsid w:val="00A85E2E"/>
    <w:rsid w:val="00A8684A"/>
    <w:rsid w:val="00A86C69"/>
    <w:rsid w:val="00A86D08"/>
    <w:rsid w:val="00A86EBA"/>
    <w:rsid w:val="00A87537"/>
    <w:rsid w:val="00A87539"/>
    <w:rsid w:val="00A9026B"/>
    <w:rsid w:val="00A907B3"/>
    <w:rsid w:val="00A907F7"/>
    <w:rsid w:val="00A90BF2"/>
    <w:rsid w:val="00A91031"/>
    <w:rsid w:val="00A92247"/>
    <w:rsid w:val="00A92D86"/>
    <w:rsid w:val="00A92FDD"/>
    <w:rsid w:val="00A9372A"/>
    <w:rsid w:val="00A93B61"/>
    <w:rsid w:val="00A93EFA"/>
    <w:rsid w:val="00A93F93"/>
    <w:rsid w:val="00A94699"/>
    <w:rsid w:val="00A952BF"/>
    <w:rsid w:val="00A9555F"/>
    <w:rsid w:val="00A95774"/>
    <w:rsid w:val="00A95A98"/>
    <w:rsid w:val="00A960D7"/>
    <w:rsid w:val="00A96C11"/>
    <w:rsid w:val="00A96E1C"/>
    <w:rsid w:val="00A96EA4"/>
    <w:rsid w:val="00A97CF2"/>
    <w:rsid w:val="00AA083E"/>
    <w:rsid w:val="00AA0BDB"/>
    <w:rsid w:val="00AA0E32"/>
    <w:rsid w:val="00AA10A7"/>
    <w:rsid w:val="00AA1855"/>
    <w:rsid w:val="00AA1889"/>
    <w:rsid w:val="00AA20A6"/>
    <w:rsid w:val="00AA22E0"/>
    <w:rsid w:val="00AA2911"/>
    <w:rsid w:val="00AA2987"/>
    <w:rsid w:val="00AA3063"/>
    <w:rsid w:val="00AA363C"/>
    <w:rsid w:val="00AA3E3D"/>
    <w:rsid w:val="00AA402C"/>
    <w:rsid w:val="00AA422B"/>
    <w:rsid w:val="00AA4262"/>
    <w:rsid w:val="00AA4341"/>
    <w:rsid w:val="00AA470B"/>
    <w:rsid w:val="00AA505C"/>
    <w:rsid w:val="00AA5129"/>
    <w:rsid w:val="00AA531D"/>
    <w:rsid w:val="00AA565D"/>
    <w:rsid w:val="00AA5949"/>
    <w:rsid w:val="00AA689B"/>
    <w:rsid w:val="00AA76AF"/>
    <w:rsid w:val="00AB0216"/>
    <w:rsid w:val="00AB143C"/>
    <w:rsid w:val="00AB1CDB"/>
    <w:rsid w:val="00AB2B54"/>
    <w:rsid w:val="00AB2D5F"/>
    <w:rsid w:val="00AB2E80"/>
    <w:rsid w:val="00AB4485"/>
    <w:rsid w:val="00AB4550"/>
    <w:rsid w:val="00AB53B0"/>
    <w:rsid w:val="00AB607F"/>
    <w:rsid w:val="00AB6B7D"/>
    <w:rsid w:val="00AB7C5D"/>
    <w:rsid w:val="00AC0489"/>
    <w:rsid w:val="00AC0535"/>
    <w:rsid w:val="00AC12C0"/>
    <w:rsid w:val="00AC1B43"/>
    <w:rsid w:val="00AC1B71"/>
    <w:rsid w:val="00AC23F4"/>
    <w:rsid w:val="00AC3542"/>
    <w:rsid w:val="00AC42A4"/>
    <w:rsid w:val="00AC4F5F"/>
    <w:rsid w:val="00AC53C9"/>
    <w:rsid w:val="00AC6915"/>
    <w:rsid w:val="00AC6F19"/>
    <w:rsid w:val="00AD0162"/>
    <w:rsid w:val="00AD0400"/>
    <w:rsid w:val="00AD048C"/>
    <w:rsid w:val="00AD0662"/>
    <w:rsid w:val="00AD0672"/>
    <w:rsid w:val="00AD0797"/>
    <w:rsid w:val="00AD1ABE"/>
    <w:rsid w:val="00AD2D67"/>
    <w:rsid w:val="00AD3AB7"/>
    <w:rsid w:val="00AD3D76"/>
    <w:rsid w:val="00AD4170"/>
    <w:rsid w:val="00AD481D"/>
    <w:rsid w:val="00AD5C7B"/>
    <w:rsid w:val="00AD5EB6"/>
    <w:rsid w:val="00AD5F7D"/>
    <w:rsid w:val="00AD6035"/>
    <w:rsid w:val="00AD7D2A"/>
    <w:rsid w:val="00AE00F0"/>
    <w:rsid w:val="00AE03A6"/>
    <w:rsid w:val="00AE0FD4"/>
    <w:rsid w:val="00AE104A"/>
    <w:rsid w:val="00AE1936"/>
    <w:rsid w:val="00AE24E3"/>
    <w:rsid w:val="00AE254C"/>
    <w:rsid w:val="00AE3D04"/>
    <w:rsid w:val="00AE3F81"/>
    <w:rsid w:val="00AE4136"/>
    <w:rsid w:val="00AE48AE"/>
    <w:rsid w:val="00AE556F"/>
    <w:rsid w:val="00AE5FE3"/>
    <w:rsid w:val="00AE6A7E"/>
    <w:rsid w:val="00AE6DC3"/>
    <w:rsid w:val="00AE7F71"/>
    <w:rsid w:val="00AF048F"/>
    <w:rsid w:val="00AF06B7"/>
    <w:rsid w:val="00AF0AED"/>
    <w:rsid w:val="00AF0C43"/>
    <w:rsid w:val="00AF0E36"/>
    <w:rsid w:val="00AF0F2E"/>
    <w:rsid w:val="00AF19CA"/>
    <w:rsid w:val="00AF23A3"/>
    <w:rsid w:val="00AF25C7"/>
    <w:rsid w:val="00AF27E8"/>
    <w:rsid w:val="00AF2878"/>
    <w:rsid w:val="00AF2FA7"/>
    <w:rsid w:val="00AF30F7"/>
    <w:rsid w:val="00AF3240"/>
    <w:rsid w:val="00AF3718"/>
    <w:rsid w:val="00AF3C3C"/>
    <w:rsid w:val="00AF4456"/>
    <w:rsid w:val="00AF5C4B"/>
    <w:rsid w:val="00AF604F"/>
    <w:rsid w:val="00AF6965"/>
    <w:rsid w:val="00AF7376"/>
    <w:rsid w:val="00AF763B"/>
    <w:rsid w:val="00AF7735"/>
    <w:rsid w:val="00AF7D6F"/>
    <w:rsid w:val="00B001AB"/>
    <w:rsid w:val="00B00FCD"/>
    <w:rsid w:val="00B011A1"/>
    <w:rsid w:val="00B01AED"/>
    <w:rsid w:val="00B01D8E"/>
    <w:rsid w:val="00B0229A"/>
    <w:rsid w:val="00B0241A"/>
    <w:rsid w:val="00B02AC4"/>
    <w:rsid w:val="00B02E49"/>
    <w:rsid w:val="00B02F79"/>
    <w:rsid w:val="00B04144"/>
    <w:rsid w:val="00B04937"/>
    <w:rsid w:val="00B04AF4"/>
    <w:rsid w:val="00B057AB"/>
    <w:rsid w:val="00B05931"/>
    <w:rsid w:val="00B05976"/>
    <w:rsid w:val="00B05E2B"/>
    <w:rsid w:val="00B07873"/>
    <w:rsid w:val="00B07A64"/>
    <w:rsid w:val="00B07FDD"/>
    <w:rsid w:val="00B10703"/>
    <w:rsid w:val="00B1087E"/>
    <w:rsid w:val="00B110BF"/>
    <w:rsid w:val="00B11F97"/>
    <w:rsid w:val="00B122B5"/>
    <w:rsid w:val="00B131B4"/>
    <w:rsid w:val="00B1376E"/>
    <w:rsid w:val="00B1429D"/>
    <w:rsid w:val="00B14C7D"/>
    <w:rsid w:val="00B15433"/>
    <w:rsid w:val="00B15A0C"/>
    <w:rsid w:val="00B15C65"/>
    <w:rsid w:val="00B15EF3"/>
    <w:rsid w:val="00B1601D"/>
    <w:rsid w:val="00B1620E"/>
    <w:rsid w:val="00B166BB"/>
    <w:rsid w:val="00B1684E"/>
    <w:rsid w:val="00B1689F"/>
    <w:rsid w:val="00B2021E"/>
    <w:rsid w:val="00B208D9"/>
    <w:rsid w:val="00B20ACB"/>
    <w:rsid w:val="00B20E6A"/>
    <w:rsid w:val="00B20EAD"/>
    <w:rsid w:val="00B22229"/>
    <w:rsid w:val="00B22292"/>
    <w:rsid w:val="00B22399"/>
    <w:rsid w:val="00B22B3E"/>
    <w:rsid w:val="00B22C40"/>
    <w:rsid w:val="00B22E49"/>
    <w:rsid w:val="00B231A1"/>
    <w:rsid w:val="00B2348D"/>
    <w:rsid w:val="00B23ABC"/>
    <w:rsid w:val="00B23C19"/>
    <w:rsid w:val="00B23EAA"/>
    <w:rsid w:val="00B24116"/>
    <w:rsid w:val="00B2437A"/>
    <w:rsid w:val="00B246D1"/>
    <w:rsid w:val="00B25128"/>
    <w:rsid w:val="00B25182"/>
    <w:rsid w:val="00B260CD"/>
    <w:rsid w:val="00B26D8D"/>
    <w:rsid w:val="00B27B74"/>
    <w:rsid w:val="00B27F7A"/>
    <w:rsid w:val="00B30351"/>
    <w:rsid w:val="00B308BB"/>
    <w:rsid w:val="00B309B4"/>
    <w:rsid w:val="00B30D59"/>
    <w:rsid w:val="00B30E65"/>
    <w:rsid w:val="00B31940"/>
    <w:rsid w:val="00B31B64"/>
    <w:rsid w:val="00B33213"/>
    <w:rsid w:val="00B334CD"/>
    <w:rsid w:val="00B344E6"/>
    <w:rsid w:val="00B34C08"/>
    <w:rsid w:val="00B35021"/>
    <w:rsid w:val="00B3700D"/>
    <w:rsid w:val="00B3751D"/>
    <w:rsid w:val="00B3791B"/>
    <w:rsid w:val="00B40489"/>
    <w:rsid w:val="00B40A76"/>
    <w:rsid w:val="00B40CEA"/>
    <w:rsid w:val="00B418AE"/>
    <w:rsid w:val="00B41A2E"/>
    <w:rsid w:val="00B41DA4"/>
    <w:rsid w:val="00B42051"/>
    <w:rsid w:val="00B4219D"/>
    <w:rsid w:val="00B427E9"/>
    <w:rsid w:val="00B4288A"/>
    <w:rsid w:val="00B432D5"/>
    <w:rsid w:val="00B43C72"/>
    <w:rsid w:val="00B4430B"/>
    <w:rsid w:val="00B44A0B"/>
    <w:rsid w:val="00B44A46"/>
    <w:rsid w:val="00B45654"/>
    <w:rsid w:val="00B45786"/>
    <w:rsid w:val="00B45B9A"/>
    <w:rsid w:val="00B45C26"/>
    <w:rsid w:val="00B45E71"/>
    <w:rsid w:val="00B4600A"/>
    <w:rsid w:val="00B460E9"/>
    <w:rsid w:val="00B4674B"/>
    <w:rsid w:val="00B47312"/>
    <w:rsid w:val="00B477F6"/>
    <w:rsid w:val="00B47D90"/>
    <w:rsid w:val="00B50016"/>
    <w:rsid w:val="00B50C9A"/>
    <w:rsid w:val="00B50DAC"/>
    <w:rsid w:val="00B51171"/>
    <w:rsid w:val="00B516A6"/>
    <w:rsid w:val="00B51735"/>
    <w:rsid w:val="00B51EC4"/>
    <w:rsid w:val="00B51EF7"/>
    <w:rsid w:val="00B52017"/>
    <w:rsid w:val="00B531D5"/>
    <w:rsid w:val="00B53377"/>
    <w:rsid w:val="00B5397D"/>
    <w:rsid w:val="00B543A0"/>
    <w:rsid w:val="00B54543"/>
    <w:rsid w:val="00B556D5"/>
    <w:rsid w:val="00B55CD2"/>
    <w:rsid w:val="00B55E64"/>
    <w:rsid w:val="00B5610D"/>
    <w:rsid w:val="00B56210"/>
    <w:rsid w:val="00B5623A"/>
    <w:rsid w:val="00B566F7"/>
    <w:rsid w:val="00B56B8F"/>
    <w:rsid w:val="00B56BB5"/>
    <w:rsid w:val="00B5714E"/>
    <w:rsid w:val="00B573A3"/>
    <w:rsid w:val="00B57608"/>
    <w:rsid w:val="00B5764A"/>
    <w:rsid w:val="00B57CDC"/>
    <w:rsid w:val="00B57E6F"/>
    <w:rsid w:val="00B6022A"/>
    <w:rsid w:val="00B60B10"/>
    <w:rsid w:val="00B6122E"/>
    <w:rsid w:val="00B612B3"/>
    <w:rsid w:val="00B61CFF"/>
    <w:rsid w:val="00B6237D"/>
    <w:rsid w:val="00B62D0D"/>
    <w:rsid w:val="00B636D0"/>
    <w:rsid w:val="00B638EF"/>
    <w:rsid w:val="00B63C62"/>
    <w:rsid w:val="00B64047"/>
    <w:rsid w:val="00B64363"/>
    <w:rsid w:val="00B65B59"/>
    <w:rsid w:val="00B65DB1"/>
    <w:rsid w:val="00B663AF"/>
    <w:rsid w:val="00B665D1"/>
    <w:rsid w:val="00B66DBD"/>
    <w:rsid w:val="00B66E0C"/>
    <w:rsid w:val="00B67194"/>
    <w:rsid w:val="00B674B7"/>
    <w:rsid w:val="00B675C1"/>
    <w:rsid w:val="00B676C1"/>
    <w:rsid w:val="00B67E17"/>
    <w:rsid w:val="00B706C0"/>
    <w:rsid w:val="00B70BA6"/>
    <w:rsid w:val="00B718BB"/>
    <w:rsid w:val="00B719EA"/>
    <w:rsid w:val="00B72E9C"/>
    <w:rsid w:val="00B73C8A"/>
    <w:rsid w:val="00B74880"/>
    <w:rsid w:val="00B74A12"/>
    <w:rsid w:val="00B75338"/>
    <w:rsid w:val="00B7543C"/>
    <w:rsid w:val="00B75989"/>
    <w:rsid w:val="00B75ACE"/>
    <w:rsid w:val="00B765AF"/>
    <w:rsid w:val="00B76F34"/>
    <w:rsid w:val="00B77AD7"/>
    <w:rsid w:val="00B8078C"/>
    <w:rsid w:val="00B809B1"/>
    <w:rsid w:val="00B80DAB"/>
    <w:rsid w:val="00B80FC2"/>
    <w:rsid w:val="00B81461"/>
    <w:rsid w:val="00B81E39"/>
    <w:rsid w:val="00B827AA"/>
    <w:rsid w:val="00B82ADA"/>
    <w:rsid w:val="00B83622"/>
    <w:rsid w:val="00B83C33"/>
    <w:rsid w:val="00B84483"/>
    <w:rsid w:val="00B84B55"/>
    <w:rsid w:val="00B8522D"/>
    <w:rsid w:val="00B85598"/>
    <w:rsid w:val="00B85CC8"/>
    <w:rsid w:val="00B864C8"/>
    <w:rsid w:val="00B86512"/>
    <w:rsid w:val="00B875F4"/>
    <w:rsid w:val="00B878DD"/>
    <w:rsid w:val="00B87BA8"/>
    <w:rsid w:val="00B90E8E"/>
    <w:rsid w:val="00B91E20"/>
    <w:rsid w:val="00B91E54"/>
    <w:rsid w:val="00B91FE6"/>
    <w:rsid w:val="00B92BEA"/>
    <w:rsid w:val="00B92EA4"/>
    <w:rsid w:val="00B93350"/>
    <w:rsid w:val="00B9379F"/>
    <w:rsid w:val="00B93B86"/>
    <w:rsid w:val="00B93CBA"/>
    <w:rsid w:val="00B95378"/>
    <w:rsid w:val="00B95A67"/>
    <w:rsid w:val="00B95BC2"/>
    <w:rsid w:val="00B95E86"/>
    <w:rsid w:val="00B96D36"/>
    <w:rsid w:val="00B96D67"/>
    <w:rsid w:val="00B97094"/>
    <w:rsid w:val="00B975E5"/>
    <w:rsid w:val="00B9799D"/>
    <w:rsid w:val="00BA0EB3"/>
    <w:rsid w:val="00BA3F0A"/>
    <w:rsid w:val="00BA4594"/>
    <w:rsid w:val="00BA4B85"/>
    <w:rsid w:val="00BA4E23"/>
    <w:rsid w:val="00BA4FD3"/>
    <w:rsid w:val="00BA566E"/>
    <w:rsid w:val="00BA5850"/>
    <w:rsid w:val="00BA5BD1"/>
    <w:rsid w:val="00BA601B"/>
    <w:rsid w:val="00BA64D9"/>
    <w:rsid w:val="00BA6672"/>
    <w:rsid w:val="00BA688A"/>
    <w:rsid w:val="00BA6EBB"/>
    <w:rsid w:val="00BA6ED6"/>
    <w:rsid w:val="00BA73C3"/>
    <w:rsid w:val="00BA7640"/>
    <w:rsid w:val="00BA7BE8"/>
    <w:rsid w:val="00BA7C8C"/>
    <w:rsid w:val="00BB0954"/>
    <w:rsid w:val="00BB23F9"/>
    <w:rsid w:val="00BB2B6A"/>
    <w:rsid w:val="00BB3F72"/>
    <w:rsid w:val="00BB4483"/>
    <w:rsid w:val="00BB4722"/>
    <w:rsid w:val="00BB4DEB"/>
    <w:rsid w:val="00BB6041"/>
    <w:rsid w:val="00BB63DA"/>
    <w:rsid w:val="00BB6B1E"/>
    <w:rsid w:val="00BB6C35"/>
    <w:rsid w:val="00BB74D0"/>
    <w:rsid w:val="00BC0165"/>
    <w:rsid w:val="00BC02DC"/>
    <w:rsid w:val="00BC06EA"/>
    <w:rsid w:val="00BC0DC4"/>
    <w:rsid w:val="00BC125C"/>
    <w:rsid w:val="00BC1679"/>
    <w:rsid w:val="00BC1881"/>
    <w:rsid w:val="00BC189B"/>
    <w:rsid w:val="00BC22EA"/>
    <w:rsid w:val="00BC2413"/>
    <w:rsid w:val="00BC3649"/>
    <w:rsid w:val="00BC38F3"/>
    <w:rsid w:val="00BC424D"/>
    <w:rsid w:val="00BC44A6"/>
    <w:rsid w:val="00BC4915"/>
    <w:rsid w:val="00BC4DA1"/>
    <w:rsid w:val="00BC4E2E"/>
    <w:rsid w:val="00BC54BB"/>
    <w:rsid w:val="00BC5643"/>
    <w:rsid w:val="00BC57C6"/>
    <w:rsid w:val="00BC6BB6"/>
    <w:rsid w:val="00BC7168"/>
    <w:rsid w:val="00BC746E"/>
    <w:rsid w:val="00BD0B69"/>
    <w:rsid w:val="00BD0EB6"/>
    <w:rsid w:val="00BD1396"/>
    <w:rsid w:val="00BD16E4"/>
    <w:rsid w:val="00BD2634"/>
    <w:rsid w:val="00BD2F0D"/>
    <w:rsid w:val="00BD2F15"/>
    <w:rsid w:val="00BD3B28"/>
    <w:rsid w:val="00BD4204"/>
    <w:rsid w:val="00BD4299"/>
    <w:rsid w:val="00BD476D"/>
    <w:rsid w:val="00BD4CE9"/>
    <w:rsid w:val="00BD55C7"/>
    <w:rsid w:val="00BD57F6"/>
    <w:rsid w:val="00BD596C"/>
    <w:rsid w:val="00BD5A4C"/>
    <w:rsid w:val="00BD5AD8"/>
    <w:rsid w:val="00BD6100"/>
    <w:rsid w:val="00BD628A"/>
    <w:rsid w:val="00BD6B61"/>
    <w:rsid w:val="00BD71A8"/>
    <w:rsid w:val="00BD7705"/>
    <w:rsid w:val="00BD7B19"/>
    <w:rsid w:val="00BD7B95"/>
    <w:rsid w:val="00BE003C"/>
    <w:rsid w:val="00BE0848"/>
    <w:rsid w:val="00BE1608"/>
    <w:rsid w:val="00BE1EAF"/>
    <w:rsid w:val="00BE206B"/>
    <w:rsid w:val="00BE2284"/>
    <w:rsid w:val="00BE27C0"/>
    <w:rsid w:val="00BE28C8"/>
    <w:rsid w:val="00BE2F0A"/>
    <w:rsid w:val="00BE323E"/>
    <w:rsid w:val="00BE34A8"/>
    <w:rsid w:val="00BE3C1A"/>
    <w:rsid w:val="00BE425F"/>
    <w:rsid w:val="00BE4B27"/>
    <w:rsid w:val="00BE5021"/>
    <w:rsid w:val="00BE538A"/>
    <w:rsid w:val="00BE5A7B"/>
    <w:rsid w:val="00BE5EA8"/>
    <w:rsid w:val="00BE5F4E"/>
    <w:rsid w:val="00BE65A5"/>
    <w:rsid w:val="00BE6B1C"/>
    <w:rsid w:val="00BE6B48"/>
    <w:rsid w:val="00BE74B7"/>
    <w:rsid w:val="00BE77DF"/>
    <w:rsid w:val="00BE7AD6"/>
    <w:rsid w:val="00BE7BFA"/>
    <w:rsid w:val="00BF0576"/>
    <w:rsid w:val="00BF0664"/>
    <w:rsid w:val="00BF0814"/>
    <w:rsid w:val="00BF17CC"/>
    <w:rsid w:val="00BF2AA6"/>
    <w:rsid w:val="00BF3093"/>
    <w:rsid w:val="00BF3387"/>
    <w:rsid w:val="00BF38D5"/>
    <w:rsid w:val="00BF3A4F"/>
    <w:rsid w:val="00BF409F"/>
    <w:rsid w:val="00BF4A03"/>
    <w:rsid w:val="00BF4AE1"/>
    <w:rsid w:val="00BF560D"/>
    <w:rsid w:val="00BF660B"/>
    <w:rsid w:val="00BF6707"/>
    <w:rsid w:val="00BF674F"/>
    <w:rsid w:val="00BF6EC0"/>
    <w:rsid w:val="00BF7349"/>
    <w:rsid w:val="00C0007B"/>
    <w:rsid w:val="00C0038D"/>
    <w:rsid w:val="00C006A2"/>
    <w:rsid w:val="00C00E5F"/>
    <w:rsid w:val="00C00F14"/>
    <w:rsid w:val="00C00FC5"/>
    <w:rsid w:val="00C01E65"/>
    <w:rsid w:val="00C030A6"/>
    <w:rsid w:val="00C032A0"/>
    <w:rsid w:val="00C03707"/>
    <w:rsid w:val="00C03BA1"/>
    <w:rsid w:val="00C0459D"/>
    <w:rsid w:val="00C04916"/>
    <w:rsid w:val="00C051DE"/>
    <w:rsid w:val="00C053DE"/>
    <w:rsid w:val="00C059BD"/>
    <w:rsid w:val="00C067C8"/>
    <w:rsid w:val="00C06E8E"/>
    <w:rsid w:val="00C07F6C"/>
    <w:rsid w:val="00C101B8"/>
    <w:rsid w:val="00C10FDE"/>
    <w:rsid w:val="00C11045"/>
    <w:rsid w:val="00C110E6"/>
    <w:rsid w:val="00C12247"/>
    <w:rsid w:val="00C12C47"/>
    <w:rsid w:val="00C12E98"/>
    <w:rsid w:val="00C14042"/>
    <w:rsid w:val="00C140E0"/>
    <w:rsid w:val="00C14221"/>
    <w:rsid w:val="00C14306"/>
    <w:rsid w:val="00C14FDF"/>
    <w:rsid w:val="00C165FB"/>
    <w:rsid w:val="00C176F8"/>
    <w:rsid w:val="00C17787"/>
    <w:rsid w:val="00C1779E"/>
    <w:rsid w:val="00C17F19"/>
    <w:rsid w:val="00C17F94"/>
    <w:rsid w:val="00C17FE4"/>
    <w:rsid w:val="00C2062A"/>
    <w:rsid w:val="00C206D6"/>
    <w:rsid w:val="00C2077B"/>
    <w:rsid w:val="00C2156D"/>
    <w:rsid w:val="00C2297B"/>
    <w:rsid w:val="00C2365B"/>
    <w:rsid w:val="00C23706"/>
    <w:rsid w:val="00C237D3"/>
    <w:rsid w:val="00C242BB"/>
    <w:rsid w:val="00C245E1"/>
    <w:rsid w:val="00C24633"/>
    <w:rsid w:val="00C251CC"/>
    <w:rsid w:val="00C25376"/>
    <w:rsid w:val="00C255F1"/>
    <w:rsid w:val="00C2580E"/>
    <w:rsid w:val="00C25821"/>
    <w:rsid w:val="00C259EF"/>
    <w:rsid w:val="00C25C9C"/>
    <w:rsid w:val="00C2720F"/>
    <w:rsid w:val="00C2732F"/>
    <w:rsid w:val="00C27665"/>
    <w:rsid w:val="00C27D48"/>
    <w:rsid w:val="00C27E6C"/>
    <w:rsid w:val="00C30227"/>
    <w:rsid w:val="00C30C59"/>
    <w:rsid w:val="00C31EAE"/>
    <w:rsid w:val="00C32220"/>
    <w:rsid w:val="00C32261"/>
    <w:rsid w:val="00C32662"/>
    <w:rsid w:val="00C329C6"/>
    <w:rsid w:val="00C32C4F"/>
    <w:rsid w:val="00C33285"/>
    <w:rsid w:val="00C3368C"/>
    <w:rsid w:val="00C33CD0"/>
    <w:rsid w:val="00C33D90"/>
    <w:rsid w:val="00C33E58"/>
    <w:rsid w:val="00C34575"/>
    <w:rsid w:val="00C34E7C"/>
    <w:rsid w:val="00C35957"/>
    <w:rsid w:val="00C35ED2"/>
    <w:rsid w:val="00C363D0"/>
    <w:rsid w:val="00C37A3C"/>
    <w:rsid w:val="00C410CC"/>
    <w:rsid w:val="00C41FAE"/>
    <w:rsid w:val="00C423A0"/>
    <w:rsid w:val="00C429DB"/>
    <w:rsid w:val="00C4461E"/>
    <w:rsid w:val="00C45044"/>
    <w:rsid w:val="00C45E54"/>
    <w:rsid w:val="00C466C1"/>
    <w:rsid w:val="00C46723"/>
    <w:rsid w:val="00C468D1"/>
    <w:rsid w:val="00C47A0A"/>
    <w:rsid w:val="00C47B80"/>
    <w:rsid w:val="00C50290"/>
    <w:rsid w:val="00C506AC"/>
    <w:rsid w:val="00C5077D"/>
    <w:rsid w:val="00C51864"/>
    <w:rsid w:val="00C51A2F"/>
    <w:rsid w:val="00C524E9"/>
    <w:rsid w:val="00C52677"/>
    <w:rsid w:val="00C5298A"/>
    <w:rsid w:val="00C5346F"/>
    <w:rsid w:val="00C538E2"/>
    <w:rsid w:val="00C5449E"/>
    <w:rsid w:val="00C546F6"/>
    <w:rsid w:val="00C5490F"/>
    <w:rsid w:val="00C549E0"/>
    <w:rsid w:val="00C55036"/>
    <w:rsid w:val="00C55158"/>
    <w:rsid w:val="00C55621"/>
    <w:rsid w:val="00C5596F"/>
    <w:rsid w:val="00C55D80"/>
    <w:rsid w:val="00C56707"/>
    <w:rsid w:val="00C60452"/>
    <w:rsid w:val="00C60BD3"/>
    <w:rsid w:val="00C60F91"/>
    <w:rsid w:val="00C615C8"/>
    <w:rsid w:val="00C6198D"/>
    <w:rsid w:val="00C61A68"/>
    <w:rsid w:val="00C62176"/>
    <w:rsid w:val="00C62AE6"/>
    <w:rsid w:val="00C62F81"/>
    <w:rsid w:val="00C62F9F"/>
    <w:rsid w:val="00C6357B"/>
    <w:rsid w:val="00C63E85"/>
    <w:rsid w:val="00C64001"/>
    <w:rsid w:val="00C6436F"/>
    <w:rsid w:val="00C65B7C"/>
    <w:rsid w:val="00C65E8E"/>
    <w:rsid w:val="00C663F0"/>
    <w:rsid w:val="00C664B5"/>
    <w:rsid w:val="00C66962"/>
    <w:rsid w:val="00C6721F"/>
    <w:rsid w:val="00C70481"/>
    <w:rsid w:val="00C707CE"/>
    <w:rsid w:val="00C7138D"/>
    <w:rsid w:val="00C71557"/>
    <w:rsid w:val="00C71DA8"/>
    <w:rsid w:val="00C71DF6"/>
    <w:rsid w:val="00C7365C"/>
    <w:rsid w:val="00C74E69"/>
    <w:rsid w:val="00C751AC"/>
    <w:rsid w:val="00C75715"/>
    <w:rsid w:val="00C75C80"/>
    <w:rsid w:val="00C76287"/>
    <w:rsid w:val="00C76962"/>
    <w:rsid w:val="00C76A3B"/>
    <w:rsid w:val="00C77BE2"/>
    <w:rsid w:val="00C77E02"/>
    <w:rsid w:val="00C80138"/>
    <w:rsid w:val="00C8066F"/>
    <w:rsid w:val="00C80863"/>
    <w:rsid w:val="00C810E8"/>
    <w:rsid w:val="00C81CF6"/>
    <w:rsid w:val="00C82026"/>
    <w:rsid w:val="00C822F0"/>
    <w:rsid w:val="00C825E7"/>
    <w:rsid w:val="00C832B3"/>
    <w:rsid w:val="00C83479"/>
    <w:rsid w:val="00C83AFB"/>
    <w:rsid w:val="00C8507D"/>
    <w:rsid w:val="00C850DE"/>
    <w:rsid w:val="00C85BDE"/>
    <w:rsid w:val="00C85EE0"/>
    <w:rsid w:val="00C861A5"/>
    <w:rsid w:val="00C86380"/>
    <w:rsid w:val="00C86AC2"/>
    <w:rsid w:val="00C86FAE"/>
    <w:rsid w:val="00C8710E"/>
    <w:rsid w:val="00C8771C"/>
    <w:rsid w:val="00C877A8"/>
    <w:rsid w:val="00C87BCC"/>
    <w:rsid w:val="00C900B2"/>
    <w:rsid w:val="00C906DA"/>
    <w:rsid w:val="00C9123E"/>
    <w:rsid w:val="00C914EF"/>
    <w:rsid w:val="00C9167B"/>
    <w:rsid w:val="00C9175A"/>
    <w:rsid w:val="00C93091"/>
    <w:rsid w:val="00C939D6"/>
    <w:rsid w:val="00C95054"/>
    <w:rsid w:val="00C963AC"/>
    <w:rsid w:val="00C97557"/>
    <w:rsid w:val="00CA015D"/>
    <w:rsid w:val="00CA01D1"/>
    <w:rsid w:val="00CA0847"/>
    <w:rsid w:val="00CA14DC"/>
    <w:rsid w:val="00CA2793"/>
    <w:rsid w:val="00CA2C39"/>
    <w:rsid w:val="00CA48A4"/>
    <w:rsid w:val="00CA4D47"/>
    <w:rsid w:val="00CA6D04"/>
    <w:rsid w:val="00CA76EC"/>
    <w:rsid w:val="00CA79DD"/>
    <w:rsid w:val="00CA7CD1"/>
    <w:rsid w:val="00CB0517"/>
    <w:rsid w:val="00CB1DDA"/>
    <w:rsid w:val="00CB2D8F"/>
    <w:rsid w:val="00CB30D8"/>
    <w:rsid w:val="00CB3297"/>
    <w:rsid w:val="00CB34E6"/>
    <w:rsid w:val="00CB35E9"/>
    <w:rsid w:val="00CB3EE0"/>
    <w:rsid w:val="00CB4CD1"/>
    <w:rsid w:val="00CB4D54"/>
    <w:rsid w:val="00CB54E6"/>
    <w:rsid w:val="00CB5AA3"/>
    <w:rsid w:val="00CB5D63"/>
    <w:rsid w:val="00CB6362"/>
    <w:rsid w:val="00CB6A6C"/>
    <w:rsid w:val="00CB7506"/>
    <w:rsid w:val="00CB7574"/>
    <w:rsid w:val="00CC0179"/>
    <w:rsid w:val="00CC088E"/>
    <w:rsid w:val="00CC0EE9"/>
    <w:rsid w:val="00CC21F7"/>
    <w:rsid w:val="00CC24DE"/>
    <w:rsid w:val="00CC2DD2"/>
    <w:rsid w:val="00CC3B39"/>
    <w:rsid w:val="00CC4BC2"/>
    <w:rsid w:val="00CC4E19"/>
    <w:rsid w:val="00CC5C27"/>
    <w:rsid w:val="00CC5D63"/>
    <w:rsid w:val="00CC6302"/>
    <w:rsid w:val="00CC6346"/>
    <w:rsid w:val="00CC6604"/>
    <w:rsid w:val="00CC708A"/>
    <w:rsid w:val="00CC70DB"/>
    <w:rsid w:val="00CC73DE"/>
    <w:rsid w:val="00CC7BAC"/>
    <w:rsid w:val="00CD009F"/>
    <w:rsid w:val="00CD0230"/>
    <w:rsid w:val="00CD0AF9"/>
    <w:rsid w:val="00CD0C3B"/>
    <w:rsid w:val="00CD119B"/>
    <w:rsid w:val="00CD359A"/>
    <w:rsid w:val="00CD39FF"/>
    <w:rsid w:val="00CD3B32"/>
    <w:rsid w:val="00CD3C14"/>
    <w:rsid w:val="00CD56E6"/>
    <w:rsid w:val="00CD5AF0"/>
    <w:rsid w:val="00CD6131"/>
    <w:rsid w:val="00CD6AAF"/>
    <w:rsid w:val="00CD6C0B"/>
    <w:rsid w:val="00CD6DBC"/>
    <w:rsid w:val="00CD739B"/>
    <w:rsid w:val="00CD794A"/>
    <w:rsid w:val="00CD7FDB"/>
    <w:rsid w:val="00CE0652"/>
    <w:rsid w:val="00CE0A68"/>
    <w:rsid w:val="00CE17EF"/>
    <w:rsid w:val="00CE23F8"/>
    <w:rsid w:val="00CE2637"/>
    <w:rsid w:val="00CE3034"/>
    <w:rsid w:val="00CE3817"/>
    <w:rsid w:val="00CE3C63"/>
    <w:rsid w:val="00CE3D7D"/>
    <w:rsid w:val="00CE43E7"/>
    <w:rsid w:val="00CE4442"/>
    <w:rsid w:val="00CE4F08"/>
    <w:rsid w:val="00CE5034"/>
    <w:rsid w:val="00CE7409"/>
    <w:rsid w:val="00CE7A2A"/>
    <w:rsid w:val="00CF11DE"/>
    <w:rsid w:val="00CF195E"/>
    <w:rsid w:val="00CF19FC"/>
    <w:rsid w:val="00CF1BDD"/>
    <w:rsid w:val="00CF1E7C"/>
    <w:rsid w:val="00CF217D"/>
    <w:rsid w:val="00CF266F"/>
    <w:rsid w:val="00CF2C2D"/>
    <w:rsid w:val="00CF30D9"/>
    <w:rsid w:val="00CF35D4"/>
    <w:rsid w:val="00CF3A38"/>
    <w:rsid w:val="00CF3B23"/>
    <w:rsid w:val="00CF49EC"/>
    <w:rsid w:val="00CF568D"/>
    <w:rsid w:val="00CF602D"/>
    <w:rsid w:val="00CF6E1D"/>
    <w:rsid w:val="00D00022"/>
    <w:rsid w:val="00D004F9"/>
    <w:rsid w:val="00D00C8C"/>
    <w:rsid w:val="00D00FA1"/>
    <w:rsid w:val="00D00FFB"/>
    <w:rsid w:val="00D010DC"/>
    <w:rsid w:val="00D01115"/>
    <w:rsid w:val="00D01A3A"/>
    <w:rsid w:val="00D01CE4"/>
    <w:rsid w:val="00D01F79"/>
    <w:rsid w:val="00D02358"/>
    <w:rsid w:val="00D023E1"/>
    <w:rsid w:val="00D02677"/>
    <w:rsid w:val="00D02707"/>
    <w:rsid w:val="00D028D3"/>
    <w:rsid w:val="00D02952"/>
    <w:rsid w:val="00D02C5A"/>
    <w:rsid w:val="00D03188"/>
    <w:rsid w:val="00D032A8"/>
    <w:rsid w:val="00D033F2"/>
    <w:rsid w:val="00D034AD"/>
    <w:rsid w:val="00D03C70"/>
    <w:rsid w:val="00D04253"/>
    <w:rsid w:val="00D04462"/>
    <w:rsid w:val="00D04555"/>
    <w:rsid w:val="00D05B41"/>
    <w:rsid w:val="00D05F63"/>
    <w:rsid w:val="00D061BE"/>
    <w:rsid w:val="00D07260"/>
    <w:rsid w:val="00D073DE"/>
    <w:rsid w:val="00D07943"/>
    <w:rsid w:val="00D10480"/>
    <w:rsid w:val="00D10676"/>
    <w:rsid w:val="00D10E38"/>
    <w:rsid w:val="00D11958"/>
    <w:rsid w:val="00D11DC1"/>
    <w:rsid w:val="00D128A4"/>
    <w:rsid w:val="00D12C12"/>
    <w:rsid w:val="00D1330E"/>
    <w:rsid w:val="00D1367B"/>
    <w:rsid w:val="00D13B3E"/>
    <w:rsid w:val="00D14317"/>
    <w:rsid w:val="00D14433"/>
    <w:rsid w:val="00D1460E"/>
    <w:rsid w:val="00D147AF"/>
    <w:rsid w:val="00D14D6A"/>
    <w:rsid w:val="00D1506D"/>
    <w:rsid w:val="00D15742"/>
    <w:rsid w:val="00D1578A"/>
    <w:rsid w:val="00D15CC6"/>
    <w:rsid w:val="00D15CE5"/>
    <w:rsid w:val="00D15EA7"/>
    <w:rsid w:val="00D1652F"/>
    <w:rsid w:val="00D16AC4"/>
    <w:rsid w:val="00D17645"/>
    <w:rsid w:val="00D178F3"/>
    <w:rsid w:val="00D17DDC"/>
    <w:rsid w:val="00D20A42"/>
    <w:rsid w:val="00D20D79"/>
    <w:rsid w:val="00D20DBA"/>
    <w:rsid w:val="00D21371"/>
    <w:rsid w:val="00D22382"/>
    <w:rsid w:val="00D227E5"/>
    <w:rsid w:val="00D23DD7"/>
    <w:rsid w:val="00D246CB"/>
    <w:rsid w:val="00D252A2"/>
    <w:rsid w:val="00D257F9"/>
    <w:rsid w:val="00D25BC6"/>
    <w:rsid w:val="00D25D1A"/>
    <w:rsid w:val="00D25F5F"/>
    <w:rsid w:val="00D270D0"/>
    <w:rsid w:val="00D27DDF"/>
    <w:rsid w:val="00D30569"/>
    <w:rsid w:val="00D30571"/>
    <w:rsid w:val="00D306E0"/>
    <w:rsid w:val="00D3092F"/>
    <w:rsid w:val="00D314B6"/>
    <w:rsid w:val="00D317DA"/>
    <w:rsid w:val="00D320D3"/>
    <w:rsid w:val="00D32140"/>
    <w:rsid w:val="00D324E9"/>
    <w:rsid w:val="00D32A59"/>
    <w:rsid w:val="00D32C92"/>
    <w:rsid w:val="00D34C53"/>
    <w:rsid w:val="00D358CB"/>
    <w:rsid w:val="00D358FE"/>
    <w:rsid w:val="00D363CC"/>
    <w:rsid w:val="00D36C40"/>
    <w:rsid w:val="00D36E7C"/>
    <w:rsid w:val="00D379D6"/>
    <w:rsid w:val="00D37CA5"/>
    <w:rsid w:val="00D37EDB"/>
    <w:rsid w:val="00D4009A"/>
    <w:rsid w:val="00D40276"/>
    <w:rsid w:val="00D415E3"/>
    <w:rsid w:val="00D4218D"/>
    <w:rsid w:val="00D42807"/>
    <w:rsid w:val="00D42C6F"/>
    <w:rsid w:val="00D43D7D"/>
    <w:rsid w:val="00D442E9"/>
    <w:rsid w:val="00D44C55"/>
    <w:rsid w:val="00D45034"/>
    <w:rsid w:val="00D451A5"/>
    <w:rsid w:val="00D45231"/>
    <w:rsid w:val="00D455B9"/>
    <w:rsid w:val="00D46236"/>
    <w:rsid w:val="00D46593"/>
    <w:rsid w:val="00D46F03"/>
    <w:rsid w:val="00D4763C"/>
    <w:rsid w:val="00D47BD6"/>
    <w:rsid w:val="00D50261"/>
    <w:rsid w:val="00D5078E"/>
    <w:rsid w:val="00D507BC"/>
    <w:rsid w:val="00D507C2"/>
    <w:rsid w:val="00D520F1"/>
    <w:rsid w:val="00D53A8A"/>
    <w:rsid w:val="00D54B6F"/>
    <w:rsid w:val="00D54EDA"/>
    <w:rsid w:val="00D55086"/>
    <w:rsid w:val="00D553F5"/>
    <w:rsid w:val="00D5610A"/>
    <w:rsid w:val="00D56690"/>
    <w:rsid w:val="00D56F53"/>
    <w:rsid w:val="00D6018B"/>
    <w:rsid w:val="00D60C97"/>
    <w:rsid w:val="00D60EA7"/>
    <w:rsid w:val="00D60F30"/>
    <w:rsid w:val="00D61753"/>
    <w:rsid w:val="00D624B5"/>
    <w:rsid w:val="00D627D5"/>
    <w:rsid w:val="00D62A36"/>
    <w:rsid w:val="00D62BDD"/>
    <w:rsid w:val="00D64475"/>
    <w:rsid w:val="00D646BA"/>
    <w:rsid w:val="00D646FD"/>
    <w:rsid w:val="00D64910"/>
    <w:rsid w:val="00D64D60"/>
    <w:rsid w:val="00D65741"/>
    <w:rsid w:val="00D663FF"/>
    <w:rsid w:val="00D6720B"/>
    <w:rsid w:val="00D701A6"/>
    <w:rsid w:val="00D7186D"/>
    <w:rsid w:val="00D71B6C"/>
    <w:rsid w:val="00D71FD1"/>
    <w:rsid w:val="00D72676"/>
    <w:rsid w:val="00D72EEF"/>
    <w:rsid w:val="00D73744"/>
    <w:rsid w:val="00D73BF2"/>
    <w:rsid w:val="00D7424F"/>
    <w:rsid w:val="00D7440F"/>
    <w:rsid w:val="00D74E8E"/>
    <w:rsid w:val="00D75380"/>
    <w:rsid w:val="00D7686F"/>
    <w:rsid w:val="00D8062E"/>
    <w:rsid w:val="00D80992"/>
    <w:rsid w:val="00D81181"/>
    <w:rsid w:val="00D829C2"/>
    <w:rsid w:val="00D82B50"/>
    <w:rsid w:val="00D82C97"/>
    <w:rsid w:val="00D82F69"/>
    <w:rsid w:val="00D83386"/>
    <w:rsid w:val="00D84481"/>
    <w:rsid w:val="00D84D16"/>
    <w:rsid w:val="00D8524E"/>
    <w:rsid w:val="00D86BEA"/>
    <w:rsid w:val="00D87DE9"/>
    <w:rsid w:val="00D91AA8"/>
    <w:rsid w:val="00D91F26"/>
    <w:rsid w:val="00D92266"/>
    <w:rsid w:val="00D94044"/>
    <w:rsid w:val="00D9486F"/>
    <w:rsid w:val="00D949AD"/>
    <w:rsid w:val="00D950E1"/>
    <w:rsid w:val="00D9561B"/>
    <w:rsid w:val="00D96272"/>
    <w:rsid w:val="00D965DD"/>
    <w:rsid w:val="00D96C25"/>
    <w:rsid w:val="00D975F0"/>
    <w:rsid w:val="00D9790C"/>
    <w:rsid w:val="00DA0014"/>
    <w:rsid w:val="00DA0157"/>
    <w:rsid w:val="00DA03B1"/>
    <w:rsid w:val="00DA07F5"/>
    <w:rsid w:val="00DA0A58"/>
    <w:rsid w:val="00DA13FC"/>
    <w:rsid w:val="00DA1458"/>
    <w:rsid w:val="00DA2F90"/>
    <w:rsid w:val="00DA3781"/>
    <w:rsid w:val="00DA3B0E"/>
    <w:rsid w:val="00DA5C3A"/>
    <w:rsid w:val="00DA5D2C"/>
    <w:rsid w:val="00DA62B3"/>
    <w:rsid w:val="00DA6488"/>
    <w:rsid w:val="00DA6505"/>
    <w:rsid w:val="00DA6F1A"/>
    <w:rsid w:val="00DA7195"/>
    <w:rsid w:val="00DA7241"/>
    <w:rsid w:val="00DB0160"/>
    <w:rsid w:val="00DB0B35"/>
    <w:rsid w:val="00DB51E1"/>
    <w:rsid w:val="00DB6661"/>
    <w:rsid w:val="00DB6803"/>
    <w:rsid w:val="00DB6B91"/>
    <w:rsid w:val="00DB74C9"/>
    <w:rsid w:val="00DB7D8F"/>
    <w:rsid w:val="00DC032C"/>
    <w:rsid w:val="00DC1E86"/>
    <w:rsid w:val="00DC23C0"/>
    <w:rsid w:val="00DC2400"/>
    <w:rsid w:val="00DC2471"/>
    <w:rsid w:val="00DC24BE"/>
    <w:rsid w:val="00DC269E"/>
    <w:rsid w:val="00DC2876"/>
    <w:rsid w:val="00DC289B"/>
    <w:rsid w:val="00DC2E67"/>
    <w:rsid w:val="00DC39EA"/>
    <w:rsid w:val="00DC428D"/>
    <w:rsid w:val="00DC459D"/>
    <w:rsid w:val="00DC5150"/>
    <w:rsid w:val="00DC5891"/>
    <w:rsid w:val="00DC5B20"/>
    <w:rsid w:val="00DC6265"/>
    <w:rsid w:val="00DC63AD"/>
    <w:rsid w:val="00DC64D6"/>
    <w:rsid w:val="00DC67D8"/>
    <w:rsid w:val="00DC6AA4"/>
    <w:rsid w:val="00DC71E7"/>
    <w:rsid w:val="00DC722C"/>
    <w:rsid w:val="00DC7C99"/>
    <w:rsid w:val="00DD0997"/>
    <w:rsid w:val="00DD0CEF"/>
    <w:rsid w:val="00DD16BA"/>
    <w:rsid w:val="00DD26DD"/>
    <w:rsid w:val="00DD2915"/>
    <w:rsid w:val="00DD2C57"/>
    <w:rsid w:val="00DD2C7B"/>
    <w:rsid w:val="00DD2FCB"/>
    <w:rsid w:val="00DD33BC"/>
    <w:rsid w:val="00DD41A4"/>
    <w:rsid w:val="00DD4CB1"/>
    <w:rsid w:val="00DD54E0"/>
    <w:rsid w:val="00DD6987"/>
    <w:rsid w:val="00DD6BB8"/>
    <w:rsid w:val="00DD72A4"/>
    <w:rsid w:val="00DD7AC0"/>
    <w:rsid w:val="00DE02F4"/>
    <w:rsid w:val="00DE0D96"/>
    <w:rsid w:val="00DE1130"/>
    <w:rsid w:val="00DE1A49"/>
    <w:rsid w:val="00DE1B4D"/>
    <w:rsid w:val="00DE2545"/>
    <w:rsid w:val="00DE290C"/>
    <w:rsid w:val="00DE2AE2"/>
    <w:rsid w:val="00DE2D43"/>
    <w:rsid w:val="00DE3402"/>
    <w:rsid w:val="00DE349C"/>
    <w:rsid w:val="00DE357B"/>
    <w:rsid w:val="00DE3D53"/>
    <w:rsid w:val="00DE3E0E"/>
    <w:rsid w:val="00DE451A"/>
    <w:rsid w:val="00DE5300"/>
    <w:rsid w:val="00DE5F3E"/>
    <w:rsid w:val="00DE6F51"/>
    <w:rsid w:val="00DE7685"/>
    <w:rsid w:val="00DE7907"/>
    <w:rsid w:val="00DE790A"/>
    <w:rsid w:val="00DF196B"/>
    <w:rsid w:val="00DF2551"/>
    <w:rsid w:val="00DF26D5"/>
    <w:rsid w:val="00DF26F4"/>
    <w:rsid w:val="00DF2775"/>
    <w:rsid w:val="00DF29DC"/>
    <w:rsid w:val="00DF32D9"/>
    <w:rsid w:val="00DF347B"/>
    <w:rsid w:val="00DF41B5"/>
    <w:rsid w:val="00DF4E03"/>
    <w:rsid w:val="00DF5BF8"/>
    <w:rsid w:val="00DF5CE4"/>
    <w:rsid w:val="00DF6022"/>
    <w:rsid w:val="00DF62F2"/>
    <w:rsid w:val="00DF643F"/>
    <w:rsid w:val="00DF69C6"/>
    <w:rsid w:val="00DF7B8F"/>
    <w:rsid w:val="00DF7E45"/>
    <w:rsid w:val="00E00BF5"/>
    <w:rsid w:val="00E01598"/>
    <w:rsid w:val="00E01709"/>
    <w:rsid w:val="00E01735"/>
    <w:rsid w:val="00E019F2"/>
    <w:rsid w:val="00E01A73"/>
    <w:rsid w:val="00E01B2A"/>
    <w:rsid w:val="00E01C7B"/>
    <w:rsid w:val="00E01EE6"/>
    <w:rsid w:val="00E020B9"/>
    <w:rsid w:val="00E02329"/>
    <w:rsid w:val="00E02933"/>
    <w:rsid w:val="00E02AF8"/>
    <w:rsid w:val="00E02BEC"/>
    <w:rsid w:val="00E02F59"/>
    <w:rsid w:val="00E036DE"/>
    <w:rsid w:val="00E03A6F"/>
    <w:rsid w:val="00E03A8A"/>
    <w:rsid w:val="00E03AF4"/>
    <w:rsid w:val="00E0410F"/>
    <w:rsid w:val="00E044DF"/>
    <w:rsid w:val="00E04500"/>
    <w:rsid w:val="00E04917"/>
    <w:rsid w:val="00E051ED"/>
    <w:rsid w:val="00E06DEA"/>
    <w:rsid w:val="00E06F3A"/>
    <w:rsid w:val="00E073DF"/>
    <w:rsid w:val="00E077FA"/>
    <w:rsid w:val="00E078F8"/>
    <w:rsid w:val="00E10425"/>
    <w:rsid w:val="00E11267"/>
    <w:rsid w:val="00E11826"/>
    <w:rsid w:val="00E1183D"/>
    <w:rsid w:val="00E1184F"/>
    <w:rsid w:val="00E11BB4"/>
    <w:rsid w:val="00E11F16"/>
    <w:rsid w:val="00E1242D"/>
    <w:rsid w:val="00E124FD"/>
    <w:rsid w:val="00E12643"/>
    <w:rsid w:val="00E127E7"/>
    <w:rsid w:val="00E12BB3"/>
    <w:rsid w:val="00E13589"/>
    <w:rsid w:val="00E13944"/>
    <w:rsid w:val="00E13F4A"/>
    <w:rsid w:val="00E151BF"/>
    <w:rsid w:val="00E15C8C"/>
    <w:rsid w:val="00E1619E"/>
    <w:rsid w:val="00E1628C"/>
    <w:rsid w:val="00E20692"/>
    <w:rsid w:val="00E206FC"/>
    <w:rsid w:val="00E2071B"/>
    <w:rsid w:val="00E20E05"/>
    <w:rsid w:val="00E211B4"/>
    <w:rsid w:val="00E212B2"/>
    <w:rsid w:val="00E215EB"/>
    <w:rsid w:val="00E2164B"/>
    <w:rsid w:val="00E2176E"/>
    <w:rsid w:val="00E217A5"/>
    <w:rsid w:val="00E220E6"/>
    <w:rsid w:val="00E2247C"/>
    <w:rsid w:val="00E22851"/>
    <w:rsid w:val="00E23C35"/>
    <w:rsid w:val="00E243CD"/>
    <w:rsid w:val="00E2598E"/>
    <w:rsid w:val="00E259AD"/>
    <w:rsid w:val="00E277D6"/>
    <w:rsid w:val="00E27C89"/>
    <w:rsid w:val="00E30836"/>
    <w:rsid w:val="00E30C04"/>
    <w:rsid w:val="00E30C94"/>
    <w:rsid w:val="00E30E19"/>
    <w:rsid w:val="00E3141E"/>
    <w:rsid w:val="00E319BD"/>
    <w:rsid w:val="00E31B6B"/>
    <w:rsid w:val="00E32A19"/>
    <w:rsid w:val="00E339CF"/>
    <w:rsid w:val="00E33E87"/>
    <w:rsid w:val="00E34B6C"/>
    <w:rsid w:val="00E35EF3"/>
    <w:rsid w:val="00E36837"/>
    <w:rsid w:val="00E376F3"/>
    <w:rsid w:val="00E40719"/>
    <w:rsid w:val="00E40A38"/>
    <w:rsid w:val="00E416C0"/>
    <w:rsid w:val="00E41C94"/>
    <w:rsid w:val="00E41E35"/>
    <w:rsid w:val="00E41F24"/>
    <w:rsid w:val="00E429CA"/>
    <w:rsid w:val="00E44173"/>
    <w:rsid w:val="00E44400"/>
    <w:rsid w:val="00E444CF"/>
    <w:rsid w:val="00E4575A"/>
    <w:rsid w:val="00E46094"/>
    <w:rsid w:val="00E4665F"/>
    <w:rsid w:val="00E46796"/>
    <w:rsid w:val="00E46A4B"/>
    <w:rsid w:val="00E46D51"/>
    <w:rsid w:val="00E478BD"/>
    <w:rsid w:val="00E50087"/>
    <w:rsid w:val="00E50305"/>
    <w:rsid w:val="00E50AB6"/>
    <w:rsid w:val="00E51117"/>
    <w:rsid w:val="00E514E7"/>
    <w:rsid w:val="00E51E38"/>
    <w:rsid w:val="00E522E4"/>
    <w:rsid w:val="00E524D0"/>
    <w:rsid w:val="00E529A4"/>
    <w:rsid w:val="00E529C6"/>
    <w:rsid w:val="00E52DD5"/>
    <w:rsid w:val="00E53287"/>
    <w:rsid w:val="00E53376"/>
    <w:rsid w:val="00E53FE2"/>
    <w:rsid w:val="00E5435E"/>
    <w:rsid w:val="00E544E0"/>
    <w:rsid w:val="00E546E5"/>
    <w:rsid w:val="00E55DA0"/>
    <w:rsid w:val="00E56D75"/>
    <w:rsid w:val="00E56F76"/>
    <w:rsid w:val="00E57C35"/>
    <w:rsid w:val="00E57CE6"/>
    <w:rsid w:val="00E60CD4"/>
    <w:rsid w:val="00E611DC"/>
    <w:rsid w:val="00E61490"/>
    <w:rsid w:val="00E62513"/>
    <w:rsid w:val="00E62AE6"/>
    <w:rsid w:val="00E62DB7"/>
    <w:rsid w:val="00E6348C"/>
    <w:rsid w:val="00E6392D"/>
    <w:rsid w:val="00E63A22"/>
    <w:rsid w:val="00E63BEE"/>
    <w:rsid w:val="00E63F02"/>
    <w:rsid w:val="00E63F8B"/>
    <w:rsid w:val="00E645FA"/>
    <w:rsid w:val="00E64820"/>
    <w:rsid w:val="00E64E1B"/>
    <w:rsid w:val="00E6510A"/>
    <w:rsid w:val="00E6532A"/>
    <w:rsid w:val="00E6537E"/>
    <w:rsid w:val="00E653DF"/>
    <w:rsid w:val="00E65C0A"/>
    <w:rsid w:val="00E65FF3"/>
    <w:rsid w:val="00E66880"/>
    <w:rsid w:val="00E670F0"/>
    <w:rsid w:val="00E67AF6"/>
    <w:rsid w:val="00E67FD9"/>
    <w:rsid w:val="00E712AA"/>
    <w:rsid w:val="00E71391"/>
    <w:rsid w:val="00E713B4"/>
    <w:rsid w:val="00E72C20"/>
    <w:rsid w:val="00E72C24"/>
    <w:rsid w:val="00E72C27"/>
    <w:rsid w:val="00E7357C"/>
    <w:rsid w:val="00E737F2"/>
    <w:rsid w:val="00E73F62"/>
    <w:rsid w:val="00E7480B"/>
    <w:rsid w:val="00E74B74"/>
    <w:rsid w:val="00E74C92"/>
    <w:rsid w:val="00E755E9"/>
    <w:rsid w:val="00E759C9"/>
    <w:rsid w:val="00E76784"/>
    <w:rsid w:val="00E76BB0"/>
    <w:rsid w:val="00E76CBC"/>
    <w:rsid w:val="00E77F5C"/>
    <w:rsid w:val="00E80190"/>
    <w:rsid w:val="00E8082B"/>
    <w:rsid w:val="00E80E43"/>
    <w:rsid w:val="00E814F4"/>
    <w:rsid w:val="00E816BF"/>
    <w:rsid w:val="00E81D81"/>
    <w:rsid w:val="00E826BD"/>
    <w:rsid w:val="00E827DF"/>
    <w:rsid w:val="00E83246"/>
    <w:rsid w:val="00E8365B"/>
    <w:rsid w:val="00E84288"/>
    <w:rsid w:val="00E8435A"/>
    <w:rsid w:val="00E84A8C"/>
    <w:rsid w:val="00E85191"/>
    <w:rsid w:val="00E85A23"/>
    <w:rsid w:val="00E85FC6"/>
    <w:rsid w:val="00E86549"/>
    <w:rsid w:val="00E86B2E"/>
    <w:rsid w:val="00E86D56"/>
    <w:rsid w:val="00E87771"/>
    <w:rsid w:val="00E87B53"/>
    <w:rsid w:val="00E87D01"/>
    <w:rsid w:val="00E9060A"/>
    <w:rsid w:val="00E907CA"/>
    <w:rsid w:val="00E909D5"/>
    <w:rsid w:val="00E90DAD"/>
    <w:rsid w:val="00E91ED5"/>
    <w:rsid w:val="00E92F01"/>
    <w:rsid w:val="00E93864"/>
    <w:rsid w:val="00E94006"/>
    <w:rsid w:val="00E9418B"/>
    <w:rsid w:val="00E941BC"/>
    <w:rsid w:val="00E9526C"/>
    <w:rsid w:val="00E95553"/>
    <w:rsid w:val="00E958D9"/>
    <w:rsid w:val="00E958EE"/>
    <w:rsid w:val="00E95AB3"/>
    <w:rsid w:val="00E95B5F"/>
    <w:rsid w:val="00E95C4C"/>
    <w:rsid w:val="00E962BE"/>
    <w:rsid w:val="00E96D1A"/>
    <w:rsid w:val="00E97529"/>
    <w:rsid w:val="00E97EA8"/>
    <w:rsid w:val="00EA04A3"/>
    <w:rsid w:val="00EA0848"/>
    <w:rsid w:val="00EA0ABC"/>
    <w:rsid w:val="00EA1449"/>
    <w:rsid w:val="00EA19E3"/>
    <w:rsid w:val="00EA2073"/>
    <w:rsid w:val="00EA2A36"/>
    <w:rsid w:val="00EA31DA"/>
    <w:rsid w:val="00EA39FE"/>
    <w:rsid w:val="00EA3B3B"/>
    <w:rsid w:val="00EA3E55"/>
    <w:rsid w:val="00EA40E4"/>
    <w:rsid w:val="00EA4439"/>
    <w:rsid w:val="00EA4EEB"/>
    <w:rsid w:val="00EA51CC"/>
    <w:rsid w:val="00EA56B3"/>
    <w:rsid w:val="00EA5ACC"/>
    <w:rsid w:val="00EA62C7"/>
    <w:rsid w:val="00EA69AA"/>
    <w:rsid w:val="00EA6B13"/>
    <w:rsid w:val="00EA6B74"/>
    <w:rsid w:val="00EA6F17"/>
    <w:rsid w:val="00EA75BB"/>
    <w:rsid w:val="00EA7AAA"/>
    <w:rsid w:val="00EB05ED"/>
    <w:rsid w:val="00EB0A86"/>
    <w:rsid w:val="00EB10CB"/>
    <w:rsid w:val="00EB12EF"/>
    <w:rsid w:val="00EB1AE9"/>
    <w:rsid w:val="00EB1DF5"/>
    <w:rsid w:val="00EB207B"/>
    <w:rsid w:val="00EB227D"/>
    <w:rsid w:val="00EB4A61"/>
    <w:rsid w:val="00EB55AD"/>
    <w:rsid w:val="00EB57E4"/>
    <w:rsid w:val="00EB60EB"/>
    <w:rsid w:val="00EB6507"/>
    <w:rsid w:val="00EB6A7C"/>
    <w:rsid w:val="00EB71C2"/>
    <w:rsid w:val="00EB7A3B"/>
    <w:rsid w:val="00EB7BDD"/>
    <w:rsid w:val="00EC0097"/>
    <w:rsid w:val="00EC09FB"/>
    <w:rsid w:val="00EC11C7"/>
    <w:rsid w:val="00EC16A3"/>
    <w:rsid w:val="00EC1BE1"/>
    <w:rsid w:val="00EC285B"/>
    <w:rsid w:val="00EC3447"/>
    <w:rsid w:val="00EC3AB8"/>
    <w:rsid w:val="00EC3EBB"/>
    <w:rsid w:val="00EC4911"/>
    <w:rsid w:val="00EC558A"/>
    <w:rsid w:val="00EC5EC8"/>
    <w:rsid w:val="00EC72EB"/>
    <w:rsid w:val="00EC790B"/>
    <w:rsid w:val="00ED0366"/>
    <w:rsid w:val="00ED0477"/>
    <w:rsid w:val="00ED0834"/>
    <w:rsid w:val="00ED0894"/>
    <w:rsid w:val="00ED0A66"/>
    <w:rsid w:val="00ED0FBD"/>
    <w:rsid w:val="00ED1272"/>
    <w:rsid w:val="00ED1360"/>
    <w:rsid w:val="00ED2439"/>
    <w:rsid w:val="00ED24A9"/>
    <w:rsid w:val="00ED2538"/>
    <w:rsid w:val="00ED273E"/>
    <w:rsid w:val="00ED2781"/>
    <w:rsid w:val="00ED2A63"/>
    <w:rsid w:val="00ED2BCA"/>
    <w:rsid w:val="00ED2C13"/>
    <w:rsid w:val="00ED2C53"/>
    <w:rsid w:val="00ED338B"/>
    <w:rsid w:val="00ED35B0"/>
    <w:rsid w:val="00ED36B4"/>
    <w:rsid w:val="00ED3A50"/>
    <w:rsid w:val="00ED3B93"/>
    <w:rsid w:val="00ED3D6E"/>
    <w:rsid w:val="00ED41AC"/>
    <w:rsid w:val="00ED4364"/>
    <w:rsid w:val="00ED4784"/>
    <w:rsid w:val="00ED56FB"/>
    <w:rsid w:val="00ED5981"/>
    <w:rsid w:val="00ED61D5"/>
    <w:rsid w:val="00EE02CA"/>
    <w:rsid w:val="00EE0BC3"/>
    <w:rsid w:val="00EE1DCE"/>
    <w:rsid w:val="00EE1FAC"/>
    <w:rsid w:val="00EE2971"/>
    <w:rsid w:val="00EE2B0D"/>
    <w:rsid w:val="00EE352B"/>
    <w:rsid w:val="00EE3DA3"/>
    <w:rsid w:val="00EE3F82"/>
    <w:rsid w:val="00EE429E"/>
    <w:rsid w:val="00EE4DC3"/>
    <w:rsid w:val="00EE5EE1"/>
    <w:rsid w:val="00EE71E6"/>
    <w:rsid w:val="00EE7239"/>
    <w:rsid w:val="00EE7B2F"/>
    <w:rsid w:val="00EE7F5A"/>
    <w:rsid w:val="00EF02DB"/>
    <w:rsid w:val="00EF10CF"/>
    <w:rsid w:val="00EF169F"/>
    <w:rsid w:val="00EF176A"/>
    <w:rsid w:val="00EF19A6"/>
    <w:rsid w:val="00EF1BEE"/>
    <w:rsid w:val="00EF26BF"/>
    <w:rsid w:val="00EF367F"/>
    <w:rsid w:val="00EF4089"/>
    <w:rsid w:val="00EF54B9"/>
    <w:rsid w:val="00EF5D89"/>
    <w:rsid w:val="00EF5EE3"/>
    <w:rsid w:val="00EF6AA7"/>
    <w:rsid w:val="00EF7C0B"/>
    <w:rsid w:val="00F003FC"/>
    <w:rsid w:val="00F00442"/>
    <w:rsid w:val="00F007C1"/>
    <w:rsid w:val="00F00CC6"/>
    <w:rsid w:val="00F00D79"/>
    <w:rsid w:val="00F01161"/>
    <w:rsid w:val="00F01598"/>
    <w:rsid w:val="00F019C7"/>
    <w:rsid w:val="00F02870"/>
    <w:rsid w:val="00F02C34"/>
    <w:rsid w:val="00F0306E"/>
    <w:rsid w:val="00F03610"/>
    <w:rsid w:val="00F036E2"/>
    <w:rsid w:val="00F04050"/>
    <w:rsid w:val="00F04990"/>
    <w:rsid w:val="00F04BE5"/>
    <w:rsid w:val="00F04D76"/>
    <w:rsid w:val="00F055F9"/>
    <w:rsid w:val="00F06BF3"/>
    <w:rsid w:val="00F06DE6"/>
    <w:rsid w:val="00F06F5E"/>
    <w:rsid w:val="00F0776D"/>
    <w:rsid w:val="00F104B7"/>
    <w:rsid w:val="00F10CC7"/>
    <w:rsid w:val="00F11462"/>
    <w:rsid w:val="00F11511"/>
    <w:rsid w:val="00F12F81"/>
    <w:rsid w:val="00F13310"/>
    <w:rsid w:val="00F1384F"/>
    <w:rsid w:val="00F13880"/>
    <w:rsid w:val="00F13910"/>
    <w:rsid w:val="00F14442"/>
    <w:rsid w:val="00F148E6"/>
    <w:rsid w:val="00F14DF5"/>
    <w:rsid w:val="00F1529C"/>
    <w:rsid w:val="00F15638"/>
    <w:rsid w:val="00F156C8"/>
    <w:rsid w:val="00F16306"/>
    <w:rsid w:val="00F166E9"/>
    <w:rsid w:val="00F16958"/>
    <w:rsid w:val="00F16BD6"/>
    <w:rsid w:val="00F16C2A"/>
    <w:rsid w:val="00F16E75"/>
    <w:rsid w:val="00F17F3A"/>
    <w:rsid w:val="00F203AF"/>
    <w:rsid w:val="00F20951"/>
    <w:rsid w:val="00F2114E"/>
    <w:rsid w:val="00F2119D"/>
    <w:rsid w:val="00F21FA4"/>
    <w:rsid w:val="00F22036"/>
    <w:rsid w:val="00F236AB"/>
    <w:rsid w:val="00F24B83"/>
    <w:rsid w:val="00F24D3F"/>
    <w:rsid w:val="00F251C7"/>
    <w:rsid w:val="00F2592A"/>
    <w:rsid w:val="00F25932"/>
    <w:rsid w:val="00F25EE4"/>
    <w:rsid w:val="00F26435"/>
    <w:rsid w:val="00F26660"/>
    <w:rsid w:val="00F27707"/>
    <w:rsid w:val="00F2774B"/>
    <w:rsid w:val="00F27CFB"/>
    <w:rsid w:val="00F30455"/>
    <w:rsid w:val="00F30F3D"/>
    <w:rsid w:val="00F318DA"/>
    <w:rsid w:val="00F31A71"/>
    <w:rsid w:val="00F3270A"/>
    <w:rsid w:val="00F32B27"/>
    <w:rsid w:val="00F3382F"/>
    <w:rsid w:val="00F34ACF"/>
    <w:rsid w:val="00F35083"/>
    <w:rsid w:val="00F35503"/>
    <w:rsid w:val="00F3649B"/>
    <w:rsid w:val="00F365E6"/>
    <w:rsid w:val="00F367CD"/>
    <w:rsid w:val="00F367E5"/>
    <w:rsid w:val="00F36E48"/>
    <w:rsid w:val="00F36F57"/>
    <w:rsid w:val="00F3739B"/>
    <w:rsid w:val="00F373F4"/>
    <w:rsid w:val="00F37530"/>
    <w:rsid w:val="00F402F6"/>
    <w:rsid w:val="00F40391"/>
    <w:rsid w:val="00F41971"/>
    <w:rsid w:val="00F4200A"/>
    <w:rsid w:val="00F42C74"/>
    <w:rsid w:val="00F42E58"/>
    <w:rsid w:val="00F43013"/>
    <w:rsid w:val="00F43047"/>
    <w:rsid w:val="00F43663"/>
    <w:rsid w:val="00F43771"/>
    <w:rsid w:val="00F43F1E"/>
    <w:rsid w:val="00F44C40"/>
    <w:rsid w:val="00F44E82"/>
    <w:rsid w:val="00F44F7C"/>
    <w:rsid w:val="00F45487"/>
    <w:rsid w:val="00F45D7F"/>
    <w:rsid w:val="00F45F39"/>
    <w:rsid w:val="00F46084"/>
    <w:rsid w:val="00F46253"/>
    <w:rsid w:val="00F4666F"/>
    <w:rsid w:val="00F468BA"/>
    <w:rsid w:val="00F46EBC"/>
    <w:rsid w:val="00F47C83"/>
    <w:rsid w:val="00F505F9"/>
    <w:rsid w:val="00F5083F"/>
    <w:rsid w:val="00F50B39"/>
    <w:rsid w:val="00F51804"/>
    <w:rsid w:val="00F51C34"/>
    <w:rsid w:val="00F51C7D"/>
    <w:rsid w:val="00F51C98"/>
    <w:rsid w:val="00F52BF5"/>
    <w:rsid w:val="00F53986"/>
    <w:rsid w:val="00F540CF"/>
    <w:rsid w:val="00F54675"/>
    <w:rsid w:val="00F5487C"/>
    <w:rsid w:val="00F54F66"/>
    <w:rsid w:val="00F55366"/>
    <w:rsid w:val="00F55CF8"/>
    <w:rsid w:val="00F562A0"/>
    <w:rsid w:val="00F56589"/>
    <w:rsid w:val="00F56653"/>
    <w:rsid w:val="00F5680D"/>
    <w:rsid w:val="00F5771D"/>
    <w:rsid w:val="00F57A40"/>
    <w:rsid w:val="00F57D62"/>
    <w:rsid w:val="00F6059E"/>
    <w:rsid w:val="00F60D2E"/>
    <w:rsid w:val="00F61895"/>
    <w:rsid w:val="00F61F96"/>
    <w:rsid w:val="00F62B25"/>
    <w:rsid w:val="00F62EDE"/>
    <w:rsid w:val="00F63022"/>
    <w:rsid w:val="00F638D6"/>
    <w:rsid w:val="00F63E3D"/>
    <w:rsid w:val="00F6461C"/>
    <w:rsid w:val="00F64ED4"/>
    <w:rsid w:val="00F65EFD"/>
    <w:rsid w:val="00F66947"/>
    <w:rsid w:val="00F67983"/>
    <w:rsid w:val="00F67B9D"/>
    <w:rsid w:val="00F67D7C"/>
    <w:rsid w:val="00F70393"/>
    <w:rsid w:val="00F710FA"/>
    <w:rsid w:val="00F7181C"/>
    <w:rsid w:val="00F724E7"/>
    <w:rsid w:val="00F7298B"/>
    <w:rsid w:val="00F72BE0"/>
    <w:rsid w:val="00F73181"/>
    <w:rsid w:val="00F73D2F"/>
    <w:rsid w:val="00F74118"/>
    <w:rsid w:val="00F75D0B"/>
    <w:rsid w:val="00F75F7D"/>
    <w:rsid w:val="00F766FB"/>
    <w:rsid w:val="00F775C7"/>
    <w:rsid w:val="00F77ABB"/>
    <w:rsid w:val="00F80655"/>
    <w:rsid w:val="00F80CFC"/>
    <w:rsid w:val="00F8100B"/>
    <w:rsid w:val="00F818A8"/>
    <w:rsid w:val="00F81991"/>
    <w:rsid w:val="00F8207A"/>
    <w:rsid w:val="00F82DC4"/>
    <w:rsid w:val="00F8310A"/>
    <w:rsid w:val="00F83151"/>
    <w:rsid w:val="00F833DA"/>
    <w:rsid w:val="00F838C4"/>
    <w:rsid w:val="00F83CD3"/>
    <w:rsid w:val="00F83CFE"/>
    <w:rsid w:val="00F84104"/>
    <w:rsid w:val="00F8531A"/>
    <w:rsid w:val="00F856DC"/>
    <w:rsid w:val="00F85C3C"/>
    <w:rsid w:val="00F85F10"/>
    <w:rsid w:val="00F86367"/>
    <w:rsid w:val="00F86445"/>
    <w:rsid w:val="00F869B6"/>
    <w:rsid w:val="00F86BE0"/>
    <w:rsid w:val="00F875D8"/>
    <w:rsid w:val="00F8780E"/>
    <w:rsid w:val="00F87E69"/>
    <w:rsid w:val="00F90090"/>
    <w:rsid w:val="00F9011F"/>
    <w:rsid w:val="00F90423"/>
    <w:rsid w:val="00F908C2"/>
    <w:rsid w:val="00F90D2E"/>
    <w:rsid w:val="00F917F5"/>
    <w:rsid w:val="00F919E1"/>
    <w:rsid w:val="00F927D7"/>
    <w:rsid w:val="00F931F0"/>
    <w:rsid w:val="00F93CFE"/>
    <w:rsid w:val="00F93FFC"/>
    <w:rsid w:val="00F9442F"/>
    <w:rsid w:val="00F9446D"/>
    <w:rsid w:val="00F94E93"/>
    <w:rsid w:val="00F95BE7"/>
    <w:rsid w:val="00F96305"/>
    <w:rsid w:val="00F96E39"/>
    <w:rsid w:val="00F973C8"/>
    <w:rsid w:val="00F9756B"/>
    <w:rsid w:val="00F979DF"/>
    <w:rsid w:val="00FA05B0"/>
    <w:rsid w:val="00FA061C"/>
    <w:rsid w:val="00FA0676"/>
    <w:rsid w:val="00FA06E1"/>
    <w:rsid w:val="00FA226E"/>
    <w:rsid w:val="00FA355A"/>
    <w:rsid w:val="00FA4CD0"/>
    <w:rsid w:val="00FA5AA3"/>
    <w:rsid w:val="00FA6157"/>
    <w:rsid w:val="00FA61C6"/>
    <w:rsid w:val="00FA7FE0"/>
    <w:rsid w:val="00FB00B2"/>
    <w:rsid w:val="00FB0288"/>
    <w:rsid w:val="00FB05F1"/>
    <w:rsid w:val="00FB0BA5"/>
    <w:rsid w:val="00FB10BD"/>
    <w:rsid w:val="00FB11E7"/>
    <w:rsid w:val="00FB18ED"/>
    <w:rsid w:val="00FB1922"/>
    <w:rsid w:val="00FB1A16"/>
    <w:rsid w:val="00FB203F"/>
    <w:rsid w:val="00FB2368"/>
    <w:rsid w:val="00FB2A23"/>
    <w:rsid w:val="00FB2AB1"/>
    <w:rsid w:val="00FB3013"/>
    <w:rsid w:val="00FB32B5"/>
    <w:rsid w:val="00FB33C2"/>
    <w:rsid w:val="00FB3C74"/>
    <w:rsid w:val="00FB3CD2"/>
    <w:rsid w:val="00FB4076"/>
    <w:rsid w:val="00FB6B16"/>
    <w:rsid w:val="00FB6E4B"/>
    <w:rsid w:val="00FB6F9D"/>
    <w:rsid w:val="00FB7271"/>
    <w:rsid w:val="00FB756C"/>
    <w:rsid w:val="00FB78E2"/>
    <w:rsid w:val="00FC10E3"/>
    <w:rsid w:val="00FC11F0"/>
    <w:rsid w:val="00FC15BC"/>
    <w:rsid w:val="00FC1B38"/>
    <w:rsid w:val="00FC1E30"/>
    <w:rsid w:val="00FC282C"/>
    <w:rsid w:val="00FC372B"/>
    <w:rsid w:val="00FC3FFE"/>
    <w:rsid w:val="00FC41C6"/>
    <w:rsid w:val="00FC426A"/>
    <w:rsid w:val="00FC4344"/>
    <w:rsid w:val="00FC4CB9"/>
    <w:rsid w:val="00FC4D5D"/>
    <w:rsid w:val="00FC5008"/>
    <w:rsid w:val="00FC56F8"/>
    <w:rsid w:val="00FC5CB8"/>
    <w:rsid w:val="00FC5D58"/>
    <w:rsid w:val="00FC5EE2"/>
    <w:rsid w:val="00FC630F"/>
    <w:rsid w:val="00FC67F0"/>
    <w:rsid w:val="00FC6DA0"/>
    <w:rsid w:val="00FC71E4"/>
    <w:rsid w:val="00FC7E39"/>
    <w:rsid w:val="00FC7E90"/>
    <w:rsid w:val="00FD18EF"/>
    <w:rsid w:val="00FD2156"/>
    <w:rsid w:val="00FD296F"/>
    <w:rsid w:val="00FD2A46"/>
    <w:rsid w:val="00FD2DF1"/>
    <w:rsid w:val="00FD4204"/>
    <w:rsid w:val="00FD4311"/>
    <w:rsid w:val="00FD5891"/>
    <w:rsid w:val="00FD594C"/>
    <w:rsid w:val="00FD5B53"/>
    <w:rsid w:val="00FD686F"/>
    <w:rsid w:val="00FD6BE6"/>
    <w:rsid w:val="00FD6D3C"/>
    <w:rsid w:val="00FD6EF6"/>
    <w:rsid w:val="00FD766A"/>
    <w:rsid w:val="00FE041D"/>
    <w:rsid w:val="00FE0616"/>
    <w:rsid w:val="00FE0690"/>
    <w:rsid w:val="00FE090B"/>
    <w:rsid w:val="00FE0B2D"/>
    <w:rsid w:val="00FE109B"/>
    <w:rsid w:val="00FE1477"/>
    <w:rsid w:val="00FE2142"/>
    <w:rsid w:val="00FE22A9"/>
    <w:rsid w:val="00FE3820"/>
    <w:rsid w:val="00FE3920"/>
    <w:rsid w:val="00FE3FA2"/>
    <w:rsid w:val="00FE41B3"/>
    <w:rsid w:val="00FE53AA"/>
    <w:rsid w:val="00FE62CC"/>
    <w:rsid w:val="00FE63C8"/>
    <w:rsid w:val="00FE6C3A"/>
    <w:rsid w:val="00FE74DD"/>
    <w:rsid w:val="00FE75EC"/>
    <w:rsid w:val="00FE785D"/>
    <w:rsid w:val="00FE7D7B"/>
    <w:rsid w:val="00FF0756"/>
    <w:rsid w:val="00FF150B"/>
    <w:rsid w:val="00FF1A7C"/>
    <w:rsid w:val="00FF339A"/>
    <w:rsid w:val="00FF3D40"/>
    <w:rsid w:val="00FF4335"/>
    <w:rsid w:val="00FF4410"/>
    <w:rsid w:val="00FF5410"/>
    <w:rsid w:val="00FF5711"/>
    <w:rsid w:val="00FF5D7F"/>
    <w:rsid w:val="00FF5F9E"/>
    <w:rsid w:val="00FF673D"/>
    <w:rsid w:val="00FF67A5"/>
    <w:rsid w:val="00FF7EB6"/>
    <w:rsid w:val="3612CE9E"/>
    <w:rsid w:val="784A37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style="mso-position-horizontal-relative:page;mso-position-vertical-relative:page" strokecolor="none [3215]">
      <v:stroke color="none [3215]" weight="1pt"/>
    </o:shapedefaults>
    <o:shapelayout v:ext="edit">
      <o:idmap v:ext="edit" data="1"/>
    </o:shapelayout>
  </w:shapeDefaults>
  <w:decimalSymbol w:val="."/>
  <w:listSeparator w:val=","/>
  <w14:docId w14:val="3240D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457F"/>
    <w:rPr>
      <w:rFonts w:ascii="Arial" w:eastAsia="Times New Roman" w:hAnsi="Arial" w:cs="Times New Roman"/>
      <w:szCs w:val="24"/>
      <w:lang w:val="en-GB" w:eastAsia="de-DE"/>
    </w:rPr>
  </w:style>
  <w:style w:type="paragraph" w:styleId="Heading1">
    <w:name w:val="heading 1"/>
    <w:basedOn w:val="Normal"/>
    <w:next w:val="Normal"/>
    <w:link w:val="Heading1Char"/>
    <w:uiPriority w:val="9"/>
    <w:semiHidden/>
    <w:qFormat/>
    <w:rsid w:val="004B6993"/>
    <w:pPr>
      <w:keepNext/>
      <w:keepLines/>
      <w:spacing w:before="480"/>
      <w:outlineLvl w:val="0"/>
    </w:pPr>
    <w:rPr>
      <w:rFonts w:asciiTheme="majorHAnsi" w:eastAsiaTheme="majorEastAsia" w:hAnsiTheme="majorHAnsi" w:cstheme="majorBidi"/>
      <w:b/>
      <w:bCs/>
      <w:color w:val="424477" w:themeColor="accent1" w:themeShade="BF"/>
      <w:sz w:val="28"/>
      <w:szCs w:val="28"/>
    </w:rPr>
  </w:style>
  <w:style w:type="paragraph" w:styleId="Heading2">
    <w:name w:val="heading 2"/>
    <w:basedOn w:val="Normal"/>
    <w:next w:val="Normal"/>
    <w:link w:val="Heading2Char"/>
    <w:uiPriority w:val="9"/>
    <w:semiHidden/>
    <w:qFormat/>
    <w:rsid w:val="003834C5"/>
    <w:pPr>
      <w:keepNext/>
      <w:keepLines/>
      <w:spacing w:before="200"/>
      <w:outlineLvl w:val="1"/>
    </w:pPr>
    <w:rPr>
      <w:rFonts w:asciiTheme="majorHAnsi" w:eastAsiaTheme="majorEastAsia" w:hAnsiTheme="majorHAnsi" w:cstheme="majorBidi"/>
      <w:b/>
      <w:bCs/>
      <w:color w:val="585C9F" w:themeColor="accent1"/>
      <w:sz w:val="26"/>
      <w:szCs w:val="26"/>
    </w:rPr>
  </w:style>
  <w:style w:type="paragraph" w:styleId="Heading4">
    <w:name w:val="heading 4"/>
    <w:basedOn w:val="Normal"/>
    <w:next w:val="Normal"/>
    <w:link w:val="Heading4Char"/>
    <w:uiPriority w:val="9"/>
    <w:semiHidden/>
    <w:unhideWhenUsed/>
    <w:qFormat/>
    <w:rsid w:val="00DB0B35"/>
    <w:pPr>
      <w:keepNext/>
      <w:keepLines/>
      <w:spacing w:before="200"/>
      <w:outlineLvl w:val="3"/>
    </w:pPr>
    <w:rPr>
      <w:rFonts w:asciiTheme="majorHAnsi" w:eastAsiaTheme="majorEastAsia" w:hAnsiTheme="majorHAnsi" w:cstheme="majorBidi"/>
      <w:b/>
      <w:bCs/>
      <w:i/>
      <w:iCs/>
      <w:color w:val="585C9F"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F4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regular">
    <w:name w:val="text regular"/>
    <w:basedOn w:val="Normal"/>
    <w:link w:val="textregularZchn"/>
    <w:qFormat/>
    <w:rsid w:val="00F02870"/>
    <w:pPr>
      <w:spacing w:after="120" w:line="288" w:lineRule="auto"/>
      <w:jc w:val="both"/>
    </w:pPr>
    <w:rPr>
      <w:rFonts w:ascii="Times New Roman" w:hAnsi="Times New Roman"/>
    </w:rPr>
  </w:style>
  <w:style w:type="paragraph" w:styleId="Header">
    <w:name w:val="header"/>
    <w:basedOn w:val="Normal"/>
    <w:link w:val="HeaderChar"/>
    <w:uiPriority w:val="99"/>
    <w:unhideWhenUsed/>
    <w:rsid w:val="00B04144"/>
    <w:pPr>
      <w:tabs>
        <w:tab w:val="center" w:pos="4536"/>
        <w:tab w:val="right" w:pos="9072"/>
      </w:tabs>
    </w:pPr>
  </w:style>
  <w:style w:type="character" w:customStyle="1" w:styleId="HeaderChar">
    <w:name w:val="Header Char"/>
    <w:basedOn w:val="DefaultParagraphFont"/>
    <w:link w:val="Header"/>
    <w:uiPriority w:val="99"/>
    <w:rsid w:val="00B04144"/>
  </w:style>
  <w:style w:type="paragraph" w:styleId="Footer">
    <w:name w:val="footer"/>
    <w:basedOn w:val="Normal"/>
    <w:link w:val="FooterChar"/>
    <w:uiPriority w:val="99"/>
    <w:semiHidden/>
    <w:rsid w:val="00B04144"/>
    <w:pPr>
      <w:tabs>
        <w:tab w:val="center" w:pos="4536"/>
        <w:tab w:val="right" w:pos="9072"/>
      </w:tabs>
    </w:pPr>
  </w:style>
  <w:style w:type="character" w:customStyle="1" w:styleId="FooterChar">
    <w:name w:val="Footer Char"/>
    <w:basedOn w:val="DefaultParagraphFont"/>
    <w:link w:val="Footer"/>
    <w:uiPriority w:val="99"/>
    <w:semiHidden/>
    <w:rsid w:val="00CD009F"/>
    <w:rPr>
      <w:lang w:val="en-GB"/>
    </w:rPr>
  </w:style>
  <w:style w:type="paragraph" w:styleId="BalloonText">
    <w:name w:val="Balloon Text"/>
    <w:basedOn w:val="Normal"/>
    <w:link w:val="BalloonTextChar"/>
    <w:uiPriority w:val="99"/>
    <w:semiHidden/>
    <w:unhideWhenUsed/>
    <w:rsid w:val="00B04144"/>
    <w:rPr>
      <w:rFonts w:ascii="Tahoma" w:hAnsi="Tahoma" w:cs="Tahoma"/>
      <w:sz w:val="16"/>
      <w:szCs w:val="16"/>
    </w:rPr>
  </w:style>
  <w:style w:type="character" w:customStyle="1" w:styleId="BalloonTextChar">
    <w:name w:val="Balloon Text Char"/>
    <w:basedOn w:val="DefaultParagraphFont"/>
    <w:link w:val="BalloonText"/>
    <w:uiPriority w:val="99"/>
    <w:semiHidden/>
    <w:rsid w:val="00B04144"/>
    <w:rPr>
      <w:rFonts w:ascii="Tahoma" w:hAnsi="Tahoma" w:cs="Tahoma"/>
      <w:sz w:val="16"/>
      <w:szCs w:val="16"/>
    </w:rPr>
  </w:style>
  <w:style w:type="paragraph" w:customStyle="1" w:styleId="headlineheader">
    <w:name w:val="headline header"/>
    <w:basedOn w:val="textregular"/>
    <w:uiPriority w:val="1"/>
    <w:qFormat/>
    <w:rsid w:val="007A686E"/>
    <w:pPr>
      <w:spacing w:after="280" w:line="600" w:lineRule="exact"/>
    </w:pPr>
    <w:rPr>
      <w:rFonts w:asciiTheme="majorHAnsi" w:hAnsiTheme="majorHAnsi" w:cstheme="majorHAnsi"/>
      <w:b/>
      <w:color w:val="23236E" w:themeColor="text2"/>
      <w:sz w:val="57"/>
      <w:szCs w:val="57"/>
    </w:rPr>
  </w:style>
  <w:style w:type="paragraph" w:customStyle="1" w:styleId="textheader">
    <w:name w:val="text header"/>
    <w:basedOn w:val="textregular"/>
    <w:uiPriority w:val="1"/>
    <w:qFormat/>
    <w:rsid w:val="00B30D59"/>
    <w:pPr>
      <w:spacing w:after="400" w:line="500" w:lineRule="exact"/>
    </w:pPr>
    <w:rPr>
      <w:rFonts w:asciiTheme="majorHAnsi" w:hAnsiTheme="majorHAnsi" w:cstheme="majorHAnsi"/>
      <w:color w:val="23236E" w:themeColor="text2"/>
      <w:sz w:val="40"/>
      <w:szCs w:val="40"/>
      <w:lang w:val="en-US"/>
    </w:rPr>
  </w:style>
  <w:style w:type="paragraph" w:customStyle="1" w:styleId="time">
    <w:name w:val="time"/>
    <w:basedOn w:val="textregular"/>
    <w:uiPriority w:val="1"/>
    <w:qFormat/>
    <w:rsid w:val="007A686E"/>
    <w:pPr>
      <w:framePr w:hSpace="142" w:vSpace="5528" w:wrap="around" w:vAnchor="page" w:hAnchor="page" w:x="1362" w:y="5104"/>
      <w:spacing w:line="320" w:lineRule="exact"/>
    </w:pPr>
    <w:rPr>
      <w:rFonts w:asciiTheme="majorHAnsi" w:hAnsiTheme="majorHAnsi" w:cstheme="majorHAnsi"/>
      <w:sz w:val="29"/>
      <w:szCs w:val="29"/>
      <w:lang w:val="en-US"/>
    </w:rPr>
  </w:style>
  <w:style w:type="character" w:styleId="PlaceholderText">
    <w:name w:val="Placeholder Text"/>
    <w:basedOn w:val="DefaultParagraphFont"/>
    <w:uiPriority w:val="99"/>
    <w:semiHidden/>
    <w:rsid w:val="00903B95"/>
    <w:rPr>
      <w:color w:val="808080"/>
    </w:rPr>
  </w:style>
  <w:style w:type="paragraph" w:customStyle="1" w:styleId="headline1">
    <w:name w:val="headline 1"/>
    <w:basedOn w:val="textregular"/>
    <w:uiPriority w:val="2"/>
    <w:qFormat/>
    <w:rsid w:val="000F693C"/>
    <w:pPr>
      <w:numPr>
        <w:numId w:val="1"/>
      </w:numPr>
      <w:spacing w:before="400" w:line="340" w:lineRule="exact"/>
      <w:outlineLvl w:val="0"/>
    </w:pPr>
    <w:rPr>
      <w:rFonts w:asciiTheme="majorHAnsi" w:hAnsiTheme="majorHAnsi" w:cstheme="majorHAnsi"/>
      <w:b/>
      <w:color w:val="23236E" w:themeColor="text2"/>
      <w:sz w:val="28"/>
      <w:szCs w:val="28"/>
    </w:rPr>
  </w:style>
  <w:style w:type="numbering" w:customStyle="1" w:styleId="XXXList">
    <w:name w:val="XXX_List"/>
    <w:basedOn w:val="NoList"/>
    <w:uiPriority w:val="99"/>
    <w:rsid w:val="00D9486F"/>
    <w:pPr>
      <w:numPr>
        <w:numId w:val="1"/>
      </w:numPr>
    </w:pPr>
  </w:style>
  <w:style w:type="character" w:customStyle="1" w:styleId="Heading1Char">
    <w:name w:val="Heading 1 Char"/>
    <w:basedOn w:val="DefaultParagraphFont"/>
    <w:link w:val="Heading1"/>
    <w:uiPriority w:val="9"/>
    <w:semiHidden/>
    <w:rsid w:val="004B6993"/>
    <w:rPr>
      <w:rFonts w:asciiTheme="majorHAnsi" w:eastAsiaTheme="majorEastAsia" w:hAnsiTheme="majorHAnsi" w:cstheme="majorBidi"/>
      <w:b/>
      <w:bCs/>
      <w:color w:val="424477" w:themeColor="accent1" w:themeShade="BF"/>
      <w:sz w:val="28"/>
      <w:szCs w:val="28"/>
    </w:rPr>
  </w:style>
  <w:style w:type="paragraph" w:styleId="TOC1">
    <w:name w:val="toc 1"/>
    <w:basedOn w:val="Normal"/>
    <w:next w:val="Normal"/>
    <w:autoRedefine/>
    <w:uiPriority w:val="39"/>
    <w:unhideWhenUsed/>
    <w:rsid w:val="0099378F"/>
    <w:pPr>
      <w:spacing w:after="100"/>
    </w:pPr>
    <w:rPr>
      <w:rFonts w:asciiTheme="majorHAnsi" w:hAnsiTheme="majorHAnsi"/>
    </w:rPr>
  </w:style>
  <w:style w:type="paragraph" w:styleId="TOCHeading">
    <w:name w:val="TOC Heading"/>
    <w:basedOn w:val="Heading1"/>
    <w:next w:val="Normal"/>
    <w:uiPriority w:val="39"/>
    <w:semiHidden/>
    <w:unhideWhenUsed/>
    <w:qFormat/>
    <w:rsid w:val="004B6993"/>
    <w:pPr>
      <w:spacing w:line="276" w:lineRule="auto"/>
      <w:outlineLvl w:val="9"/>
    </w:pPr>
  </w:style>
  <w:style w:type="character" w:styleId="Hyperlink">
    <w:name w:val="Hyperlink"/>
    <w:basedOn w:val="DefaultParagraphFont"/>
    <w:uiPriority w:val="99"/>
    <w:rsid w:val="0099378F"/>
    <w:rPr>
      <w:color w:val="0000FF" w:themeColor="hyperlink"/>
      <w:u w:val="single"/>
    </w:rPr>
  </w:style>
  <w:style w:type="paragraph" w:customStyle="1" w:styleId="decisionhead">
    <w:name w:val="decision head"/>
    <w:basedOn w:val="textregular"/>
    <w:uiPriority w:val="3"/>
    <w:qFormat/>
    <w:rsid w:val="00CD009F"/>
    <w:pPr>
      <w:pBdr>
        <w:top w:val="single" w:sz="24" w:space="1" w:color="B4B4C8" w:themeColor="accent4"/>
        <w:left w:val="single" w:sz="24" w:space="4" w:color="B4B4C8" w:themeColor="accent4"/>
        <w:bottom w:val="single" w:sz="24" w:space="1" w:color="B4B4C8" w:themeColor="accent4"/>
        <w:right w:val="single" w:sz="24" w:space="4" w:color="B4B4C8" w:themeColor="accent4"/>
      </w:pBdr>
      <w:shd w:val="clear" w:color="auto" w:fill="B4B4C8" w:themeFill="accent4"/>
      <w:spacing w:line="260" w:lineRule="exact"/>
      <w:ind w:left="170" w:right="170"/>
    </w:pPr>
    <w:rPr>
      <w:rFonts w:asciiTheme="majorHAnsi" w:hAnsiTheme="majorHAnsi" w:cstheme="majorHAnsi"/>
      <w:b/>
      <w:color w:val="23236E" w:themeColor="text2"/>
      <w:sz w:val="24"/>
    </w:rPr>
  </w:style>
  <w:style w:type="numbering" w:customStyle="1" w:styleId="XXXBulletList">
    <w:name w:val="XXX_Bullet List"/>
    <w:basedOn w:val="NoList"/>
    <w:uiPriority w:val="99"/>
    <w:rsid w:val="00590A19"/>
    <w:pPr>
      <w:numPr>
        <w:numId w:val="2"/>
      </w:numPr>
    </w:pPr>
  </w:style>
  <w:style w:type="paragraph" w:customStyle="1" w:styleId="decisionbullet1">
    <w:name w:val="decision bullet 1"/>
    <w:basedOn w:val="textregular"/>
    <w:uiPriority w:val="4"/>
    <w:qFormat/>
    <w:rsid w:val="00CD009F"/>
    <w:pPr>
      <w:numPr>
        <w:numId w:val="2"/>
      </w:numPr>
      <w:pBdr>
        <w:top w:val="single" w:sz="24" w:space="0" w:color="B4B4C8" w:themeColor="accent4"/>
        <w:left w:val="single" w:sz="24" w:space="4" w:color="B4B4C8" w:themeColor="accent4"/>
        <w:bottom w:val="single" w:sz="24" w:space="0" w:color="B4B4C8" w:themeColor="accent4"/>
        <w:right w:val="single" w:sz="24" w:space="4" w:color="B4B4C8" w:themeColor="accent4"/>
      </w:pBdr>
      <w:shd w:val="clear" w:color="auto" w:fill="B4B4C8" w:themeFill="accent4"/>
      <w:ind w:left="499" w:right="170"/>
    </w:pPr>
  </w:style>
  <w:style w:type="paragraph" w:customStyle="1" w:styleId="decisionbullet2">
    <w:name w:val="decision bullet 2"/>
    <w:basedOn w:val="textregular"/>
    <w:uiPriority w:val="4"/>
    <w:qFormat/>
    <w:rsid w:val="00B30D59"/>
    <w:pPr>
      <w:numPr>
        <w:ilvl w:val="1"/>
        <w:numId w:val="2"/>
      </w:numPr>
      <w:pBdr>
        <w:top w:val="single" w:sz="24" w:space="1" w:color="B4B4C8" w:themeColor="accent4"/>
        <w:left w:val="single" w:sz="24" w:space="21" w:color="B4B4C8" w:themeColor="accent4"/>
        <w:bottom w:val="single" w:sz="24" w:space="1" w:color="B4B4C8" w:themeColor="accent4"/>
        <w:right w:val="single" w:sz="24" w:space="4" w:color="B4B4C8" w:themeColor="accent4"/>
      </w:pBdr>
      <w:shd w:val="clear" w:color="auto" w:fill="B4B4C8" w:themeFill="accent4"/>
      <w:ind w:left="851" w:right="170" w:hanging="369"/>
    </w:pPr>
  </w:style>
  <w:style w:type="paragraph" w:customStyle="1" w:styleId="headline3">
    <w:name w:val="headline 3"/>
    <w:basedOn w:val="textregular"/>
    <w:uiPriority w:val="2"/>
    <w:qFormat/>
    <w:rsid w:val="000F693C"/>
    <w:pPr>
      <w:spacing w:after="20"/>
      <w:outlineLvl w:val="2"/>
    </w:pPr>
    <w:rPr>
      <w:b/>
    </w:rPr>
  </w:style>
  <w:style w:type="numbering" w:customStyle="1" w:styleId="XXXNummerierung">
    <w:name w:val="XXX_Nummerierung"/>
    <w:basedOn w:val="NoList"/>
    <w:uiPriority w:val="99"/>
    <w:rsid w:val="00E7480B"/>
  </w:style>
  <w:style w:type="paragraph" w:customStyle="1" w:styleId="textenumeration">
    <w:name w:val="text enumeration"/>
    <w:basedOn w:val="textregular"/>
    <w:link w:val="textenumerationZchn"/>
    <w:uiPriority w:val="4"/>
    <w:qFormat/>
    <w:rsid w:val="00E7480B"/>
    <w:pPr>
      <w:contextualSpacing/>
    </w:pPr>
  </w:style>
  <w:style w:type="paragraph" w:customStyle="1" w:styleId="headline2">
    <w:name w:val="headline 2"/>
    <w:basedOn w:val="textregular"/>
    <w:uiPriority w:val="2"/>
    <w:qFormat/>
    <w:rsid w:val="000F693C"/>
    <w:pPr>
      <w:spacing w:line="260" w:lineRule="exact"/>
      <w:outlineLvl w:val="1"/>
    </w:pPr>
    <w:rPr>
      <w:rFonts w:asciiTheme="majorHAnsi" w:hAnsiTheme="majorHAnsi" w:cstheme="majorHAnsi"/>
      <w:b/>
      <w:color w:val="23236E" w:themeColor="text2"/>
      <w:sz w:val="24"/>
    </w:rPr>
  </w:style>
  <w:style w:type="numbering" w:customStyle="1" w:styleId="XXXtextbullets">
    <w:name w:val="XXX_text bullets"/>
    <w:basedOn w:val="NoList"/>
    <w:uiPriority w:val="99"/>
    <w:rsid w:val="000961F8"/>
    <w:pPr>
      <w:numPr>
        <w:numId w:val="4"/>
      </w:numPr>
    </w:pPr>
  </w:style>
  <w:style w:type="paragraph" w:customStyle="1" w:styleId="textbullets">
    <w:name w:val="text bullets"/>
    <w:basedOn w:val="textregular"/>
    <w:uiPriority w:val="5"/>
    <w:qFormat/>
    <w:rsid w:val="000961F8"/>
    <w:pPr>
      <w:numPr>
        <w:numId w:val="4"/>
      </w:numPr>
      <w:contextualSpacing/>
    </w:pPr>
  </w:style>
  <w:style w:type="table" w:customStyle="1" w:styleId="EntsoeeinfacheTabelle">
    <w:name w:val="Entsoe | einfache Tabelle"/>
    <w:basedOn w:val="TableNormal"/>
    <w:uiPriority w:val="99"/>
    <w:qFormat/>
    <w:rsid w:val="00922A3D"/>
    <w:tblPr>
      <w:tblStyleRowBandSize w:val="1"/>
      <w:tblBorders>
        <w:insideV w:val="single" w:sz="12" w:space="0" w:color="FFFFFF" w:themeColor="background1"/>
      </w:tblBorders>
      <w:tblCellMar>
        <w:top w:w="28" w:type="dxa"/>
      </w:tblCellMar>
    </w:tblPr>
    <w:tblStylePr w:type="firstRow">
      <w:pPr>
        <w:wordWrap/>
        <w:spacing w:afterLines="0" w:afterAutospacing="0" w:line="340" w:lineRule="exact"/>
      </w:pPr>
      <w:rPr>
        <w:rFonts w:asciiTheme="majorHAnsi" w:hAnsiTheme="majorHAnsi"/>
        <w:b/>
        <w:color w:val="23236E" w:themeColor="text2"/>
        <w:sz w:val="28"/>
      </w:rPr>
    </w:tblStylePr>
    <w:tblStylePr w:type="band1Horz">
      <w:tblPr/>
      <w:tcPr>
        <w:shd w:val="clear" w:color="auto" w:fill="D9D9D9" w:themeFill="background1" w:themeFillShade="D9"/>
      </w:tcPr>
    </w:tblStylePr>
  </w:style>
  <w:style w:type="paragraph" w:customStyle="1" w:styleId="footnote1">
    <w:name w:val="footnote 1"/>
    <w:basedOn w:val="textregular"/>
    <w:uiPriority w:val="6"/>
    <w:qFormat/>
    <w:rsid w:val="007E6984"/>
    <w:pPr>
      <w:pBdr>
        <w:top w:val="single" w:sz="8" w:space="11" w:color="auto"/>
      </w:pBdr>
    </w:pPr>
    <w:rPr>
      <w:sz w:val="19"/>
    </w:rPr>
  </w:style>
  <w:style w:type="paragraph" w:customStyle="1" w:styleId="footnote2">
    <w:name w:val="footnote 2"/>
    <w:basedOn w:val="textregular"/>
    <w:uiPriority w:val="6"/>
    <w:qFormat/>
    <w:rsid w:val="007E6984"/>
    <w:rPr>
      <w:sz w:val="19"/>
    </w:rPr>
  </w:style>
  <w:style w:type="paragraph" w:styleId="TOC3">
    <w:name w:val="toc 3"/>
    <w:basedOn w:val="Normal"/>
    <w:next w:val="Normal"/>
    <w:autoRedefine/>
    <w:uiPriority w:val="39"/>
    <w:unhideWhenUsed/>
    <w:rsid w:val="00674D58"/>
    <w:pPr>
      <w:tabs>
        <w:tab w:val="left" w:pos="1418"/>
        <w:tab w:val="right" w:leader="dot" w:pos="9514"/>
      </w:tabs>
      <w:spacing w:after="100"/>
      <w:ind w:left="1418" w:hanging="978"/>
    </w:pPr>
  </w:style>
  <w:style w:type="paragraph" w:styleId="TOC2">
    <w:name w:val="toc 2"/>
    <w:basedOn w:val="Normal"/>
    <w:next w:val="Normal"/>
    <w:autoRedefine/>
    <w:uiPriority w:val="39"/>
    <w:unhideWhenUsed/>
    <w:rsid w:val="000F693C"/>
    <w:pPr>
      <w:spacing w:after="100"/>
      <w:ind w:left="220"/>
    </w:pPr>
  </w:style>
  <w:style w:type="paragraph" w:styleId="ListParagraph">
    <w:name w:val="List Paragraph"/>
    <w:aliases w:val="bulletit taulukoissa"/>
    <w:basedOn w:val="Normal"/>
    <w:link w:val="ListParagraphChar"/>
    <w:uiPriority w:val="34"/>
    <w:qFormat/>
    <w:rsid w:val="004F245D"/>
    <w:pPr>
      <w:ind w:left="720"/>
      <w:contextualSpacing/>
    </w:pPr>
  </w:style>
  <w:style w:type="character" w:customStyle="1" w:styleId="textregularZchn">
    <w:name w:val="text regular Zchn"/>
    <w:basedOn w:val="DefaultParagraphFont"/>
    <w:link w:val="textregular"/>
    <w:rsid w:val="00F02870"/>
    <w:rPr>
      <w:rFonts w:ascii="Times New Roman" w:eastAsia="Times New Roman" w:hAnsi="Times New Roman" w:cs="Times New Roman"/>
      <w:szCs w:val="24"/>
      <w:lang w:eastAsia="de-DE"/>
    </w:rPr>
  </w:style>
  <w:style w:type="table" w:customStyle="1" w:styleId="TableGrid1">
    <w:name w:val="Table Grid1"/>
    <w:basedOn w:val="TableNormal"/>
    <w:next w:val="TableGrid"/>
    <w:uiPriority w:val="59"/>
    <w:rsid w:val="004F245D"/>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aliases w:val="Stinking Styles6,Marque de commentaire1,Verwijzing opmerking,Rimando commento,Merknadsreferanse"/>
    <w:basedOn w:val="DefaultParagraphFont"/>
    <w:uiPriority w:val="99"/>
    <w:unhideWhenUsed/>
    <w:rsid w:val="00EE02CA"/>
    <w:rPr>
      <w:sz w:val="16"/>
      <w:szCs w:val="16"/>
    </w:rPr>
  </w:style>
  <w:style w:type="paragraph" w:styleId="CommentText">
    <w:name w:val="annotation text"/>
    <w:basedOn w:val="Normal"/>
    <w:link w:val="CommentTextChar"/>
    <w:uiPriority w:val="99"/>
    <w:unhideWhenUsed/>
    <w:rsid w:val="00EE02CA"/>
    <w:rPr>
      <w:sz w:val="20"/>
      <w:szCs w:val="20"/>
    </w:rPr>
  </w:style>
  <w:style w:type="character" w:customStyle="1" w:styleId="CommentTextChar">
    <w:name w:val="Comment Text Char"/>
    <w:basedOn w:val="DefaultParagraphFont"/>
    <w:link w:val="CommentText"/>
    <w:uiPriority w:val="99"/>
    <w:rsid w:val="00EE02CA"/>
    <w:rPr>
      <w:rFonts w:ascii="Arial" w:eastAsia="Times New Roman" w:hAnsi="Arial"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0C04CE"/>
    <w:rPr>
      <w:b/>
      <w:bCs/>
    </w:rPr>
  </w:style>
  <w:style w:type="character" w:customStyle="1" w:styleId="CommentSubjectChar">
    <w:name w:val="Comment Subject Char"/>
    <w:basedOn w:val="CommentTextChar"/>
    <w:link w:val="CommentSubject"/>
    <w:uiPriority w:val="99"/>
    <w:semiHidden/>
    <w:rsid w:val="000C04CE"/>
    <w:rPr>
      <w:rFonts w:ascii="Arial" w:eastAsia="Times New Roman" w:hAnsi="Arial" w:cs="Times New Roman"/>
      <w:b/>
      <w:bCs/>
      <w:sz w:val="20"/>
      <w:szCs w:val="20"/>
      <w:lang w:eastAsia="de-DE"/>
    </w:rPr>
  </w:style>
  <w:style w:type="paragraph" w:styleId="Revision">
    <w:name w:val="Revision"/>
    <w:hidden/>
    <w:uiPriority w:val="99"/>
    <w:semiHidden/>
    <w:rsid w:val="00427897"/>
    <w:rPr>
      <w:rFonts w:ascii="Arial" w:eastAsia="Times New Roman" w:hAnsi="Arial" w:cs="Times New Roman"/>
      <w:szCs w:val="24"/>
      <w:lang w:eastAsia="de-DE"/>
    </w:rPr>
  </w:style>
  <w:style w:type="character" w:customStyle="1" w:styleId="Heading2Char">
    <w:name w:val="Heading 2 Char"/>
    <w:basedOn w:val="DefaultParagraphFont"/>
    <w:link w:val="Heading2"/>
    <w:uiPriority w:val="9"/>
    <w:semiHidden/>
    <w:rsid w:val="003834C5"/>
    <w:rPr>
      <w:rFonts w:asciiTheme="majorHAnsi" w:eastAsiaTheme="majorEastAsia" w:hAnsiTheme="majorHAnsi" w:cstheme="majorBidi"/>
      <w:b/>
      <w:bCs/>
      <w:color w:val="585C9F" w:themeColor="accent1"/>
      <w:sz w:val="26"/>
      <w:szCs w:val="26"/>
      <w:lang w:eastAsia="de-DE"/>
    </w:rPr>
  </w:style>
  <w:style w:type="paragraph" w:styleId="Caption">
    <w:name w:val="caption"/>
    <w:basedOn w:val="Normal"/>
    <w:next w:val="Normal"/>
    <w:uiPriority w:val="35"/>
    <w:unhideWhenUsed/>
    <w:qFormat/>
    <w:rsid w:val="005F457F"/>
    <w:pPr>
      <w:spacing w:after="200"/>
    </w:pPr>
    <w:rPr>
      <w:rFonts w:ascii="Times New Roman" w:hAnsi="Times New Roman"/>
      <w:b/>
      <w:bCs/>
      <w:sz w:val="18"/>
      <w:szCs w:val="18"/>
    </w:rPr>
  </w:style>
  <w:style w:type="character" w:customStyle="1" w:styleId="Heading4Char">
    <w:name w:val="Heading 4 Char"/>
    <w:basedOn w:val="DefaultParagraphFont"/>
    <w:link w:val="Heading4"/>
    <w:uiPriority w:val="9"/>
    <w:semiHidden/>
    <w:rsid w:val="00DB0B35"/>
    <w:rPr>
      <w:rFonts w:asciiTheme="majorHAnsi" w:eastAsiaTheme="majorEastAsia" w:hAnsiTheme="majorHAnsi" w:cstheme="majorBidi"/>
      <w:b/>
      <w:bCs/>
      <w:i/>
      <w:iCs/>
      <w:color w:val="585C9F" w:themeColor="accent1"/>
      <w:szCs w:val="24"/>
      <w:lang w:eastAsia="de-DE"/>
    </w:rPr>
  </w:style>
  <w:style w:type="paragraph" w:styleId="FootnoteText">
    <w:name w:val="footnote text"/>
    <w:aliases w:val="TBG Style,Footnote Text Char3 Char,Footnote Text Char2 Char Char,Footnote Text Char1 Char1 Char Char,Footnote Text Char2 Char Char Char1 Char,Footnote Text Char1 Char1 Char Char Char Char,Footnote Text Char1 Char,DTE-Voetnoottekst,Footnot"/>
    <w:basedOn w:val="Normal"/>
    <w:link w:val="FootnoteTextChar"/>
    <w:uiPriority w:val="99"/>
    <w:unhideWhenUsed/>
    <w:qFormat/>
    <w:rsid w:val="00F83CD3"/>
    <w:rPr>
      <w:sz w:val="20"/>
      <w:szCs w:val="20"/>
    </w:rPr>
  </w:style>
  <w:style w:type="character" w:customStyle="1" w:styleId="FootnoteTextChar">
    <w:name w:val="Footnote Text Char"/>
    <w:aliases w:val="TBG Style Char,Footnote Text Char3 Char Char,Footnote Text Char2 Char Char Char,Footnote Text Char1 Char1 Char Char Char,Footnote Text Char2 Char Char Char1 Char Char,Footnote Text Char1 Char1 Char Char Char Char Char,Footnot Char"/>
    <w:basedOn w:val="DefaultParagraphFont"/>
    <w:link w:val="FootnoteText"/>
    <w:uiPriority w:val="99"/>
    <w:rsid w:val="00F83CD3"/>
    <w:rPr>
      <w:rFonts w:ascii="Arial" w:eastAsia="Times New Roman" w:hAnsi="Arial" w:cs="Times New Roman"/>
      <w:sz w:val="20"/>
      <w:szCs w:val="20"/>
      <w:lang w:eastAsia="de-DE"/>
    </w:rPr>
  </w:style>
  <w:style w:type="character" w:styleId="FootnoteReference">
    <w:name w:val="footnote reference"/>
    <w:uiPriority w:val="99"/>
    <w:rsid w:val="00F83CD3"/>
    <w:rPr>
      <w:rFonts w:cs="Times New Roman"/>
      <w:vertAlign w:val="superscript"/>
    </w:rPr>
  </w:style>
  <w:style w:type="character" w:styleId="LineNumber">
    <w:name w:val="line number"/>
    <w:basedOn w:val="DefaultParagraphFont"/>
    <w:uiPriority w:val="99"/>
    <w:semiHidden/>
    <w:unhideWhenUsed/>
    <w:rsid w:val="00FC1E30"/>
  </w:style>
  <w:style w:type="character" w:styleId="FollowedHyperlink">
    <w:name w:val="FollowedHyperlink"/>
    <w:basedOn w:val="DefaultParagraphFont"/>
    <w:uiPriority w:val="99"/>
    <w:semiHidden/>
    <w:unhideWhenUsed/>
    <w:rsid w:val="00026270"/>
    <w:rPr>
      <w:color w:val="800080" w:themeColor="followedHyperlink"/>
      <w:u w:val="single"/>
    </w:rPr>
  </w:style>
  <w:style w:type="paragraph" w:customStyle="1" w:styleId="Default">
    <w:name w:val="Default"/>
    <w:rsid w:val="002B3EEE"/>
    <w:pPr>
      <w:autoSpaceDE w:val="0"/>
      <w:autoSpaceDN w:val="0"/>
      <w:adjustRightInd w:val="0"/>
    </w:pPr>
    <w:rPr>
      <w:rFonts w:ascii="EUAlbertina" w:hAnsi="EUAlbertina" w:cs="EUAlbertina"/>
      <w:color w:val="000000"/>
      <w:sz w:val="24"/>
      <w:szCs w:val="24"/>
      <w:lang w:val="fr-FR"/>
    </w:rPr>
  </w:style>
  <w:style w:type="paragraph" w:customStyle="1" w:styleId="Articlename">
    <w:name w:val="Article name"/>
    <w:basedOn w:val="textregular"/>
    <w:next w:val="textregular"/>
    <w:link w:val="ArticlenameChar"/>
    <w:autoRedefine/>
    <w:qFormat/>
    <w:rsid w:val="00844A97"/>
    <w:pPr>
      <w:spacing w:before="240" w:after="240"/>
      <w:ind w:left="357"/>
      <w:jc w:val="center"/>
    </w:pPr>
    <w:rPr>
      <w:b/>
      <w:color w:val="23236E" w:themeColor="text2"/>
      <w:sz w:val="24"/>
      <w:lang w:eastAsia="en-US"/>
    </w:rPr>
  </w:style>
  <w:style w:type="paragraph" w:customStyle="1" w:styleId="Artnr">
    <w:name w:val="Art nr"/>
    <w:basedOn w:val="textregular"/>
    <w:next w:val="textregular"/>
    <w:link w:val="ArtnrChar"/>
    <w:qFormat/>
    <w:rsid w:val="00491F20"/>
    <w:pPr>
      <w:keepNext/>
      <w:keepLines/>
      <w:spacing w:before="240" w:after="240"/>
      <w:jc w:val="center"/>
      <w:outlineLvl w:val="2"/>
    </w:pPr>
    <w:rPr>
      <w:b/>
      <w:color w:val="23236E" w:themeColor="text2"/>
      <w:sz w:val="24"/>
    </w:rPr>
  </w:style>
  <w:style w:type="character" w:customStyle="1" w:styleId="ArticlenameChar">
    <w:name w:val="Article name Char"/>
    <w:basedOn w:val="textregularZchn"/>
    <w:link w:val="Articlename"/>
    <w:rsid w:val="00844A97"/>
    <w:rPr>
      <w:rFonts w:ascii="Times New Roman" w:eastAsia="Times New Roman" w:hAnsi="Times New Roman" w:cs="Times New Roman"/>
      <w:b/>
      <w:color w:val="23236E" w:themeColor="text2"/>
      <w:sz w:val="24"/>
      <w:szCs w:val="24"/>
      <w:lang w:val="en-GB" w:eastAsia="de-DE"/>
    </w:rPr>
  </w:style>
  <w:style w:type="paragraph" w:customStyle="1" w:styleId="Titrearticle">
    <w:name w:val="Titre article"/>
    <w:basedOn w:val="Normal"/>
    <w:next w:val="Normal"/>
    <w:rsid w:val="0087086F"/>
    <w:pPr>
      <w:keepNext/>
      <w:spacing w:before="360" w:after="120"/>
      <w:jc w:val="center"/>
    </w:pPr>
    <w:rPr>
      <w:rFonts w:ascii="Times New Roman" w:eastAsiaTheme="minorHAnsi" w:hAnsi="Times New Roman"/>
      <w:i/>
      <w:sz w:val="24"/>
      <w:szCs w:val="22"/>
      <w:lang w:eastAsia="en-US"/>
    </w:rPr>
  </w:style>
  <w:style w:type="character" w:customStyle="1" w:styleId="ArtnrChar">
    <w:name w:val="Art nr Char"/>
    <w:basedOn w:val="textregularZchn"/>
    <w:link w:val="Artnr"/>
    <w:rsid w:val="006D1ED6"/>
    <w:rPr>
      <w:rFonts w:ascii="Times New Roman" w:eastAsia="Times New Roman" w:hAnsi="Times New Roman" w:cs="Times New Roman"/>
      <w:b/>
      <w:color w:val="23236E" w:themeColor="text2"/>
      <w:sz w:val="24"/>
      <w:szCs w:val="24"/>
      <w:lang w:val="en-GB" w:eastAsia="de-DE"/>
    </w:rPr>
  </w:style>
  <w:style w:type="paragraph" w:customStyle="1" w:styleId="Partname">
    <w:name w:val="Part name"/>
    <w:basedOn w:val="Normal"/>
    <w:qFormat/>
    <w:rsid w:val="0087086F"/>
    <w:pPr>
      <w:numPr>
        <w:numId w:val="5"/>
      </w:numPr>
      <w:spacing w:before="480" w:after="240" w:line="360" w:lineRule="auto"/>
      <w:ind w:left="0" w:firstLine="227"/>
      <w:jc w:val="center"/>
      <w:outlineLvl w:val="0"/>
    </w:pPr>
    <w:rPr>
      <w:rFonts w:ascii="Times New Roman" w:eastAsiaTheme="minorHAnsi" w:hAnsi="Times New Roman" w:cstheme="minorBidi"/>
      <w:b/>
      <w:caps/>
      <w:color w:val="000000" w:themeColor="text1"/>
      <w:sz w:val="24"/>
      <w:lang w:eastAsia="en-US"/>
    </w:rPr>
  </w:style>
  <w:style w:type="paragraph" w:customStyle="1" w:styleId="Paragraph">
    <w:name w:val="Paragraph"/>
    <w:basedOn w:val="Normal"/>
    <w:link w:val="ParagraphChar"/>
    <w:autoRedefine/>
    <w:qFormat/>
    <w:rsid w:val="001F4D8E"/>
    <w:pPr>
      <w:numPr>
        <w:numId w:val="44"/>
      </w:numPr>
      <w:spacing w:before="120" w:after="120" w:line="252" w:lineRule="auto"/>
      <w:jc w:val="both"/>
    </w:pPr>
    <w:rPr>
      <w:rFonts w:ascii="Times New Roman" w:eastAsiaTheme="minorHAnsi" w:hAnsi="Times New Roman"/>
      <w:color w:val="000000" w:themeColor="text1"/>
      <w:szCs w:val="22"/>
      <w:lang w:eastAsia="en-US"/>
    </w:rPr>
  </w:style>
  <w:style w:type="character" w:customStyle="1" w:styleId="ParagraphChar">
    <w:name w:val="Paragraph Char"/>
    <w:basedOn w:val="DefaultParagraphFont"/>
    <w:link w:val="Paragraph"/>
    <w:rsid w:val="001F4D8E"/>
    <w:rPr>
      <w:rFonts w:ascii="Times New Roman" w:hAnsi="Times New Roman" w:cs="Times New Roman"/>
      <w:color w:val="000000" w:themeColor="text1"/>
      <w:lang w:val="en-GB"/>
    </w:rPr>
  </w:style>
  <w:style w:type="paragraph" w:customStyle="1" w:styleId="Titlename">
    <w:name w:val="Title name"/>
    <w:basedOn w:val="Artnr"/>
    <w:link w:val="TitlenameChar"/>
    <w:qFormat/>
    <w:rsid w:val="00E376F3"/>
    <w:pPr>
      <w:numPr>
        <w:numId w:val="6"/>
      </w:numPr>
      <w:ind w:left="0" w:firstLine="709"/>
      <w:outlineLvl w:val="0"/>
    </w:pPr>
  </w:style>
  <w:style w:type="paragraph" w:customStyle="1" w:styleId="Chaptername">
    <w:name w:val="Chapter name"/>
    <w:basedOn w:val="Titlename"/>
    <w:next w:val="Artnr"/>
    <w:link w:val="ChapternameChar"/>
    <w:qFormat/>
    <w:rsid w:val="009F016A"/>
    <w:pPr>
      <w:numPr>
        <w:numId w:val="7"/>
      </w:numPr>
      <w:ind w:left="0" w:firstLine="709"/>
      <w:outlineLvl w:val="1"/>
    </w:pPr>
  </w:style>
  <w:style w:type="character" w:customStyle="1" w:styleId="TitlenameChar">
    <w:name w:val="Title name Char"/>
    <w:basedOn w:val="ArtnrChar"/>
    <w:link w:val="Titlename"/>
    <w:rsid w:val="0040493E"/>
    <w:rPr>
      <w:rFonts w:ascii="Times New Roman" w:eastAsia="Times New Roman" w:hAnsi="Times New Roman" w:cs="Times New Roman"/>
      <w:b/>
      <w:color w:val="23236E" w:themeColor="text2"/>
      <w:sz w:val="24"/>
      <w:szCs w:val="24"/>
      <w:lang w:val="en-GB" w:eastAsia="de-DE"/>
    </w:rPr>
  </w:style>
  <w:style w:type="character" w:customStyle="1" w:styleId="ChapternameChar">
    <w:name w:val="Chapter name Char"/>
    <w:basedOn w:val="TitlenameChar"/>
    <w:link w:val="Chaptername"/>
    <w:rsid w:val="00DF2551"/>
    <w:rPr>
      <w:rFonts w:ascii="Times New Roman" w:eastAsia="Times New Roman" w:hAnsi="Times New Roman" w:cs="Times New Roman"/>
      <w:b/>
      <w:color w:val="23236E" w:themeColor="text2"/>
      <w:sz w:val="24"/>
      <w:szCs w:val="24"/>
      <w:lang w:val="en-GB" w:eastAsia="de-DE"/>
    </w:rPr>
  </w:style>
  <w:style w:type="paragraph" w:customStyle="1" w:styleId="Paragrapgh-numbered">
    <w:name w:val="Paragrapgh - numbered"/>
    <w:basedOn w:val="textregular"/>
    <w:link w:val="Paragrapgh-numberedChar"/>
    <w:qFormat/>
    <w:rsid w:val="00F02870"/>
    <w:rPr>
      <w:rFonts w:asciiTheme="minorHAnsi" w:hAnsiTheme="minorHAnsi" w:cstheme="minorHAnsi"/>
      <w:szCs w:val="22"/>
      <w:lang w:val="en-US"/>
    </w:rPr>
  </w:style>
  <w:style w:type="character" w:customStyle="1" w:styleId="Paragrapgh-numberedChar">
    <w:name w:val="Paragrapgh - numbered Char"/>
    <w:basedOn w:val="textregularZchn"/>
    <w:link w:val="Paragrapgh-numbered"/>
    <w:rsid w:val="00F02870"/>
    <w:rPr>
      <w:rFonts w:ascii="Times New Roman" w:eastAsia="Times New Roman" w:hAnsi="Times New Roman" w:cstheme="minorHAnsi"/>
      <w:szCs w:val="24"/>
      <w:lang w:val="en-US" w:eastAsia="de-DE"/>
    </w:rPr>
  </w:style>
  <w:style w:type="paragraph" w:customStyle="1" w:styleId="CM1">
    <w:name w:val="CM1"/>
    <w:basedOn w:val="Default"/>
    <w:next w:val="Default"/>
    <w:uiPriority w:val="99"/>
    <w:rsid w:val="00082EE7"/>
    <w:rPr>
      <w:rFonts w:cstheme="minorBidi"/>
      <w:color w:val="auto"/>
    </w:rPr>
  </w:style>
  <w:style w:type="paragraph" w:customStyle="1" w:styleId="CM3">
    <w:name w:val="CM3"/>
    <w:basedOn w:val="Default"/>
    <w:next w:val="Default"/>
    <w:uiPriority w:val="99"/>
    <w:rsid w:val="00082EE7"/>
    <w:rPr>
      <w:rFonts w:cstheme="minorBidi"/>
      <w:color w:val="auto"/>
    </w:rPr>
  </w:style>
  <w:style w:type="character" w:customStyle="1" w:styleId="ListParagraphChar">
    <w:name w:val="List Paragraph Char"/>
    <w:aliases w:val="bulletit taulukoissa Char"/>
    <w:link w:val="ListParagraph"/>
    <w:uiPriority w:val="99"/>
    <w:locked/>
    <w:rsid w:val="00B011A1"/>
    <w:rPr>
      <w:rFonts w:ascii="Arial" w:eastAsia="Times New Roman" w:hAnsi="Arial" w:cs="Times New Roman"/>
      <w:szCs w:val="24"/>
      <w:lang w:eastAsia="de-DE"/>
    </w:rPr>
  </w:style>
  <w:style w:type="paragraph" w:customStyle="1" w:styleId="NumPar1">
    <w:name w:val="NumPar 1"/>
    <w:basedOn w:val="Normal"/>
    <w:next w:val="Normal"/>
    <w:rsid w:val="0066482B"/>
    <w:pPr>
      <w:numPr>
        <w:numId w:val="8"/>
      </w:numPr>
      <w:spacing w:before="120" w:after="120"/>
      <w:jc w:val="both"/>
    </w:pPr>
    <w:rPr>
      <w:rFonts w:ascii="Times New Roman" w:eastAsiaTheme="minorHAnsi" w:hAnsi="Times New Roman"/>
      <w:sz w:val="24"/>
      <w:szCs w:val="22"/>
      <w:lang w:eastAsia="en-US"/>
    </w:rPr>
  </w:style>
  <w:style w:type="paragraph" w:customStyle="1" w:styleId="NumPar2">
    <w:name w:val="NumPar 2"/>
    <w:basedOn w:val="Normal"/>
    <w:next w:val="Normal"/>
    <w:rsid w:val="0066482B"/>
    <w:pPr>
      <w:numPr>
        <w:ilvl w:val="1"/>
        <w:numId w:val="8"/>
      </w:numPr>
      <w:spacing w:before="120" w:after="120"/>
      <w:jc w:val="both"/>
    </w:pPr>
    <w:rPr>
      <w:rFonts w:ascii="Times New Roman" w:eastAsiaTheme="minorHAnsi" w:hAnsi="Times New Roman"/>
      <w:sz w:val="24"/>
      <w:szCs w:val="22"/>
      <w:lang w:eastAsia="en-US"/>
    </w:rPr>
  </w:style>
  <w:style w:type="paragraph" w:customStyle="1" w:styleId="NumPar3">
    <w:name w:val="NumPar 3"/>
    <w:basedOn w:val="Normal"/>
    <w:next w:val="Normal"/>
    <w:rsid w:val="0066482B"/>
    <w:pPr>
      <w:numPr>
        <w:ilvl w:val="2"/>
        <w:numId w:val="8"/>
      </w:numPr>
      <w:spacing w:before="120" w:after="120"/>
      <w:jc w:val="both"/>
    </w:pPr>
    <w:rPr>
      <w:rFonts w:ascii="Times New Roman" w:eastAsiaTheme="minorHAnsi" w:hAnsi="Times New Roman"/>
      <w:sz w:val="24"/>
      <w:szCs w:val="22"/>
      <w:lang w:eastAsia="en-US"/>
    </w:rPr>
  </w:style>
  <w:style w:type="paragraph" w:customStyle="1" w:styleId="NumPar4">
    <w:name w:val="NumPar 4"/>
    <w:basedOn w:val="Normal"/>
    <w:next w:val="Normal"/>
    <w:rsid w:val="0066482B"/>
    <w:pPr>
      <w:numPr>
        <w:ilvl w:val="3"/>
        <w:numId w:val="8"/>
      </w:numPr>
      <w:spacing w:before="120" w:after="120"/>
      <w:jc w:val="both"/>
    </w:pPr>
    <w:rPr>
      <w:rFonts w:ascii="Times New Roman" w:eastAsiaTheme="minorHAnsi" w:hAnsi="Times New Roman"/>
      <w:sz w:val="24"/>
      <w:szCs w:val="22"/>
      <w:lang w:eastAsia="en-US"/>
    </w:rPr>
  </w:style>
  <w:style w:type="paragraph" w:styleId="NormalWeb">
    <w:name w:val="Normal (Web)"/>
    <w:basedOn w:val="Normal"/>
    <w:uiPriority w:val="99"/>
    <w:semiHidden/>
    <w:unhideWhenUsed/>
    <w:rsid w:val="00565882"/>
    <w:pPr>
      <w:spacing w:before="100" w:beforeAutospacing="1" w:after="100" w:afterAutospacing="1"/>
    </w:pPr>
    <w:rPr>
      <w:rFonts w:ascii="Times New Roman" w:hAnsi="Times New Roman"/>
      <w:sz w:val="24"/>
      <w:lang w:val="de-AT" w:eastAsia="de-AT"/>
    </w:rPr>
  </w:style>
  <w:style w:type="paragraph" w:customStyle="1" w:styleId="paragrapgh-numbered0">
    <w:name w:val="paragrapgh-numbered"/>
    <w:basedOn w:val="Normal"/>
    <w:rsid w:val="0042458E"/>
    <w:pPr>
      <w:spacing w:before="100" w:beforeAutospacing="1" w:after="100" w:afterAutospacing="1"/>
    </w:pPr>
    <w:rPr>
      <w:rFonts w:ascii="Times New Roman" w:eastAsiaTheme="minorHAnsi" w:hAnsi="Times New Roman"/>
      <w:sz w:val="24"/>
      <w:lang w:val="fr-FR" w:eastAsia="fr-FR"/>
    </w:rPr>
  </w:style>
  <w:style w:type="paragraph" w:styleId="Title">
    <w:name w:val="Title"/>
    <w:basedOn w:val="Normal"/>
    <w:next w:val="Normal"/>
    <w:link w:val="TitleChar"/>
    <w:uiPriority w:val="10"/>
    <w:qFormat/>
    <w:rsid w:val="00551B2C"/>
    <w:pPr>
      <w:contextualSpacing/>
      <w:jc w:val="center"/>
    </w:pPr>
    <w:rPr>
      <w:rFonts w:asciiTheme="majorHAnsi" w:eastAsiaTheme="majorEastAsia" w:hAnsiTheme="majorHAnsi" w:cstheme="majorBidi"/>
      <w:spacing w:val="-10"/>
      <w:kern w:val="28"/>
      <w:sz w:val="40"/>
      <w:szCs w:val="56"/>
      <w:lang w:val="de-DE" w:eastAsia="en-US"/>
    </w:rPr>
  </w:style>
  <w:style w:type="character" w:customStyle="1" w:styleId="TitleChar">
    <w:name w:val="Title Char"/>
    <w:basedOn w:val="DefaultParagraphFont"/>
    <w:link w:val="Title"/>
    <w:uiPriority w:val="10"/>
    <w:rsid w:val="00551B2C"/>
    <w:rPr>
      <w:rFonts w:asciiTheme="majorHAnsi" w:eastAsiaTheme="majorEastAsia" w:hAnsiTheme="majorHAnsi" w:cstheme="majorBidi"/>
      <w:spacing w:val="-10"/>
      <w:kern w:val="28"/>
      <w:sz w:val="40"/>
      <w:szCs w:val="56"/>
    </w:rPr>
  </w:style>
  <w:style w:type="paragraph" w:customStyle="1" w:styleId="Numbering">
    <w:name w:val="Numbering !"/>
    <w:basedOn w:val="Normal"/>
    <w:uiPriority w:val="99"/>
    <w:qFormat/>
    <w:rsid w:val="0077481E"/>
    <w:pPr>
      <w:spacing w:after="120" w:line="256" w:lineRule="auto"/>
      <w:ind w:left="473" w:hanging="360"/>
      <w:jc w:val="both"/>
    </w:pPr>
    <w:rPr>
      <w:rFonts w:ascii="Times New Roman" w:hAnsi="Times New Roman"/>
      <w:szCs w:val="22"/>
    </w:rPr>
  </w:style>
  <w:style w:type="paragraph" w:customStyle="1" w:styleId="Numbering2">
    <w:name w:val="Numbering 2"/>
    <w:basedOn w:val="textenumeration"/>
    <w:qFormat/>
    <w:rsid w:val="004563C4"/>
    <w:pPr>
      <w:spacing w:line="256" w:lineRule="auto"/>
      <w:ind w:left="680" w:hanging="340"/>
      <w:contextualSpacing w:val="0"/>
    </w:pPr>
    <w:rPr>
      <w:lang w:eastAsia="en-US"/>
    </w:rPr>
  </w:style>
  <w:style w:type="paragraph" w:customStyle="1" w:styleId="Numbering3">
    <w:name w:val="Numbering 3"/>
    <w:basedOn w:val="textenumeration"/>
    <w:qFormat/>
    <w:rsid w:val="00CE7A2A"/>
    <w:pPr>
      <w:spacing w:line="256" w:lineRule="auto"/>
      <w:contextualSpacing w:val="0"/>
    </w:pPr>
    <w:rPr>
      <w:lang w:eastAsia="en-US"/>
    </w:rPr>
  </w:style>
  <w:style w:type="table" w:customStyle="1" w:styleId="Rutenettabelllys1">
    <w:name w:val="Rutenettabell lys1"/>
    <w:basedOn w:val="TableNormal"/>
    <w:uiPriority w:val="40"/>
    <w:rsid w:val="00CE7A2A"/>
    <w:rPr>
      <w:lang w:val="cs-CZ"/>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XXXNummerierung8">
    <w:name w:val="XXX_Nummerierung8"/>
    <w:basedOn w:val="NoList"/>
    <w:uiPriority w:val="99"/>
    <w:rsid w:val="00421767"/>
    <w:pPr>
      <w:numPr>
        <w:numId w:val="3"/>
      </w:numPr>
    </w:pPr>
  </w:style>
  <w:style w:type="character" w:customStyle="1" w:styleId="textenumerationZchn">
    <w:name w:val="text enumeration Zchn"/>
    <w:basedOn w:val="textregularZchn"/>
    <w:link w:val="textenumeration"/>
    <w:uiPriority w:val="4"/>
    <w:rsid w:val="007231BA"/>
    <w:rPr>
      <w:rFonts w:ascii="Times New Roman" w:eastAsia="Times New Roman" w:hAnsi="Times New Roman" w:cs="Times New Roman"/>
      <w:szCs w:val="24"/>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71582">
      <w:bodyDiv w:val="1"/>
      <w:marLeft w:val="0"/>
      <w:marRight w:val="0"/>
      <w:marTop w:val="0"/>
      <w:marBottom w:val="0"/>
      <w:divBdr>
        <w:top w:val="none" w:sz="0" w:space="0" w:color="auto"/>
        <w:left w:val="none" w:sz="0" w:space="0" w:color="auto"/>
        <w:bottom w:val="none" w:sz="0" w:space="0" w:color="auto"/>
        <w:right w:val="none" w:sz="0" w:space="0" w:color="auto"/>
      </w:divBdr>
    </w:div>
    <w:div w:id="74403845">
      <w:bodyDiv w:val="1"/>
      <w:marLeft w:val="0"/>
      <w:marRight w:val="0"/>
      <w:marTop w:val="0"/>
      <w:marBottom w:val="0"/>
      <w:divBdr>
        <w:top w:val="none" w:sz="0" w:space="0" w:color="auto"/>
        <w:left w:val="none" w:sz="0" w:space="0" w:color="auto"/>
        <w:bottom w:val="none" w:sz="0" w:space="0" w:color="auto"/>
        <w:right w:val="none" w:sz="0" w:space="0" w:color="auto"/>
      </w:divBdr>
    </w:div>
    <w:div w:id="134760244">
      <w:bodyDiv w:val="1"/>
      <w:marLeft w:val="0"/>
      <w:marRight w:val="0"/>
      <w:marTop w:val="0"/>
      <w:marBottom w:val="0"/>
      <w:divBdr>
        <w:top w:val="none" w:sz="0" w:space="0" w:color="auto"/>
        <w:left w:val="none" w:sz="0" w:space="0" w:color="auto"/>
        <w:bottom w:val="none" w:sz="0" w:space="0" w:color="auto"/>
        <w:right w:val="none" w:sz="0" w:space="0" w:color="auto"/>
      </w:divBdr>
      <w:divsChild>
        <w:div w:id="955260203">
          <w:marLeft w:val="0"/>
          <w:marRight w:val="0"/>
          <w:marTop w:val="0"/>
          <w:marBottom w:val="0"/>
          <w:divBdr>
            <w:top w:val="none" w:sz="0" w:space="0" w:color="auto"/>
            <w:left w:val="none" w:sz="0" w:space="0" w:color="auto"/>
            <w:bottom w:val="none" w:sz="0" w:space="0" w:color="auto"/>
            <w:right w:val="none" w:sz="0" w:space="0" w:color="auto"/>
          </w:divBdr>
          <w:divsChild>
            <w:div w:id="583105259">
              <w:marLeft w:val="0"/>
              <w:marRight w:val="0"/>
              <w:marTop w:val="0"/>
              <w:marBottom w:val="0"/>
              <w:divBdr>
                <w:top w:val="none" w:sz="0" w:space="0" w:color="auto"/>
                <w:left w:val="none" w:sz="0" w:space="0" w:color="auto"/>
                <w:bottom w:val="none" w:sz="0" w:space="0" w:color="auto"/>
                <w:right w:val="none" w:sz="0" w:space="0" w:color="auto"/>
              </w:divBdr>
            </w:div>
            <w:div w:id="2046632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55734">
      <w:bodyDiv w:val="1"/>
      <w:marLeft w:val="0"/>
      <w:marRight w:val="0"/>
      <w:marTop w:val="0"/>
      <w:marBottom w:val="0"/>
      <w:divBdr>
        <w:top w:val="none" w:sz="0" w:space="0" w:color="auto"/>
        <w:left w:val="none" w:sz="0" w:space="0" w:color="auto"/>
        <w:bottom w:val="none" w:sz="0" w:space="0" w:color="auto"/>
        <w:right w:val="none" w:sz="0" w:space="0" w:color="auto"/>
      </w:divBdr>
    </w:div>
    <w:div w:id="197593012">
      <w:bodyDiv w:val="1"/>
      <w:marLeft w:val="0"/>
      <w:marRight w:val="0"/>
      <w:marTop w:val="0"/>
      <w:marBottom w:val="0"/>
      <w:divBdr>
        <w:top w:val="none" w:sz="0" w:space="0" w:color="auto"/>
        <w:left w:val="none" w:sz="0" w:space="0" w:color="auto"/>
        <w:bottom w:val="none" w:sz="0" w:space="0" w:color="auto"/>
        <w:right w:val="none" w:sz="0" w:space="0" w:color="auto"/>
      </w:divBdr>
    </w:div>
    <w:div w:id="233705063">
      <w:bodyDiv w:val="1"/>
      <w:marLeft w:val="0"/>
      <w:marRight w:val="0"/>
      <w:marTop w:val="0"/>
      <w:marBottom w:val="0"/>
      <w:divBdr>
        <w:top w:val="none" w:sz="0" w:space="0" w:color="auto"/>
        <w:left w:val="none" w:sz="0" w:space="0" w:color="auto"/>
        <w:bottom w:val="none" w:sz="0" w:space="0" w:color="auto"/>
        <w:right w:val="none" w:sz="0" w:space="0" w:color="auto"/>
      </w:divBdr>
    </w:div>
    <w:div w:id="291443573">
      <w:bodyDiv w:val="1"/>
      <w:marLeft w:val="0"/>
      <w:marRight w:val="0"/>
      <w:marTop w:val="0"/>
      <w:marBottom w:val="0"/>
      <w:divBdr>
        <w:top w:val="none" w:sz="0" w:space="0" w:color="auto"/>
        <w:left w:val="none" w:sz="0" w:space="0" w:color="auto"/>
        <w:bottom w:val="none" w:sz="0" w:space="0" w:color="auto"/>
        <w:right w:val="none" w:sz="0" w:space="0" w:color="auto"/>
      </w:divBdr>
    </w:div>
    <w:div w:id="294264882">
      <w:bodyDiv w:val="1"/>
      <w:marLeft w:val="0"/>
      <w:marRight w:val="0"/>
      <w:marTop w:val="0"/>
      <w:marBottom w:val="0"/>
      <w:divBdr>
        <w:top w:val="none" w:sz="0" w:space="0" w:color="auto"/>
        <w:left w:val="none" w:sz="0" w:space="0" w:color="auto"/>
        <w:bottom w:val="none" w:sz="0" w:space="0" w:color="auto"/>
        <w:right w:val="none" w:sz="0" w:space="0" w:color="auto"/>
      </w:divBdr>
    </w:div>
    <w:div w:id="358506296">
      <w:bodyDiv w:val="1"/>
      <w:marLeft w:val="0"/>
      <w:marRight w:val="0"/>
      <w:marTop w:val="0"/>
      <w:marBottom w:val="0"/>
      <w:divBdr>
        <w:top w:val="none" w:sz="0" w:space="0" w:color="auto"/>
        <w:left w:val="none" w:sz="0" w:space="0" w:color="auto"/>
        <w:bottom w:val="none" w:sz="0" w:space="0" w:color="auto"/>
        <w:right w:val="none" w:sz="0" w:space="0" w:color="auto"/>
      </w:divBdr>
    </w:div>
    <w:div w:id="671496189">
      <w:bodyDiv w:val="1"/>
      <w:marLeft w:val="0"/>
      <w:marRight w:val="0"/>
      <w:marTop w:val="0"/>
      <w:marBottom w:val="0"/>
      <w:divBdr>
        <w:top w:val="none" w:sz="0" w:space="0" w:color="auto"/>
        <w:left w:val="none" w:sz="0" w:space="0" w:color="auto"/>
        <w:bottom w:val="none" w:sz="0" w:space="0" w:color="auto"/>
        <w:right w:val="none" w:sz="0" w:space="0" w:color="auto"/>
      </w:divBdr>
    </w:div>
    <w:div w:id="682896394">
      <w:bodyDiv w:val="1"/>
      <w:marLeft w:val="0"/>
      <w:marRight w:val="0"/>
      <w:marTop w:val="0"/>
      <w:marBottom w:val="0"/>
      <w:divBdr>
        <w:top w:val="none" w:sz="0" w:space="0" w:color="auto"/>
        <w:left w:val="none" w:sz="0" w:space="0" w:color="auto"/>
        <w:bottom w:val="none" w:sz="0" w:space="0" w:color="auto"/>
        <w:right w:val="none" w:sz="0" w:space="0" w:color="auto"/>
      </w:divBdr>
    </w:div>
    <w:div w:id="792869087">
      <w:bodyDiv w:val="1"/>
      <w:marLeft w:val="0"/>
      <w:marRight w:val="0"/>
      <w:marTop w:val="0"/>
      <w:marBottom w:val="0"/>
      <w:divBdr>
        <w:top w:val="none" w:sz="0" w:space="0" w:color="auto"/>
        <w:left w:val="none" w:sz="0" w:space="0" w:color="auto"/>
        <w:bottom w:val="none" w:sz="0" w:space="0" w:color="auto"/>
        <w:right w:val="none" w:sz="0" w:space="0" w:color="auto"/>
      </w:divBdr>
    </w:div>
    <w:div w:id="805854747">
      <w:bodyDiv w:val="1"/>
      <w:marLeft w:val="0"/>
      <w:marRight w:val="0"/>
      <w:marTop w:val="0"/>
      <w:marBottom w:val="0"/>
      <w:divBdr>
        <w:top w:val="none" w:sz="0" w:space="0" w:color="auto"/>
        <w:left w:val="none" w:sz="0" w:space="0" w:color="auto"/>
        <w:bottom w:val="none" w:sz="0" w:space="0" w:color="auto"/>
        <w:right w:val="none" w:sz="0" w:space="0" w:color="auto"/>
      </w:divBdr>
    </w:div>
    <w:div w:id="1049762966">
      <w:bodyDiv w:val="1"/>
      <w:marLeft w:val="0"/>
      <w:marRight w:val="0"/>
      <w:marTop w:val="0"/>
      <w:marBottom w:val="0"/>
      <w:divBdr>
        <w:top w:val="none" w:sz="0" w:space="0" w:color="auto"/>
        <w:left w:val="none" w:sz="0" w:space="0" w:color="auto"/>
        <w:bottom w:val="none" w:sz="0" w:space="0" w:color="auto"/>
        <w:right w:val="none" w:sz="0" w:space="0" w:color="auto"/>
      </w:divBdr>
    </w:div>
    <w:div w:id="1543588369">
      <w:bodyDiv w:val="1"/>
      <w:marLeft w:val="0"/>
      <w:marRight w:val="0"/>
      <w:marTop w:val="0"/>
      <w:marBottom w:val="0"/>
      <w:divBdr>
        <w:top w:val="none" w:sz="0" w:space="0" w:color="auto"/>
        <w:left w:val="none" w:sz="0" w:space="0" w:color="auto"/>
        <w:bottom w:val="none" w:sz="0" w:space="0" w:color="auto"/>
        <w:right w:val="none" w:sz="0" w:space="0" w:color="auto"/>
      </w:divBdr>
    </w:div>
    <w:div w:id="1595940585">
      <w:bodyDiv w:val="1"/>
      <w:marLeft w:val="0"/>
      <w:marRight w:val="0"/>
      <w:marTop w:val="0"/>
      <w:marBottom w:val="0"/>
      <w:divBdr>
        <w:top w:val="none" w:sz="0" w:space="0" w:color="auto"/>
        <w:left w:val="none" w:sz="0" w:space="0" w:color="auto"/>
        <w:bottom w:val="none" w:sz="0" w:space="0" w:color="auto"/>
        <w:right w:val="none" w:sz="0" w:space="0" w:color="auto"/>
      </w:divBdr>
    </w:div>
    <w:div w:id="1599799704">
      <w:bodyDiv w:val="1"/>
      <w:marLeft w:val="0"/>
      <w:marRight w:val="0"/>
      <w:marTop w:val="0"/>
      <w:marBottom w:val="0"/>
      <w:divBdr>
        <w:top w:val="none" w:sz="0" w:space="0" w:color="auto"/>
        <w:left w:val="none" w:sz="0" w:space="0" w:color="auto"/>
        <w:bottom w:val="none" w:sz="0" w:space="0" w:color="auto"/>
        <w:right w:val="none" w:sz="0" w:space="0" w:color="auto"/>
      </w:divBdr>
    </w:div>
    <w:div w:id="1646355945">
      <w:bodyDiv w:val="1"/>
      <w:marLeft w:val="0"/>
      <w:marRight w:val="0"/>
      <w:marTop w:val="0"/>
      <w:marBottom w:val="0"/>
      <w:divBdr>
        <w:top w:val="none" w:sz="0" w:space="0" w:color="auto"/>
        <w:left w:val="none" w:sz="0" w:space="0" w:color="auto"/>
        <w:bottom w:val="none" w:sz="0" w:space="0" w:color="auto"/>
        <w:right w:val="none" w:sz="0" w:space="0" w:color="auto"/>
      </w:divBdr>
    </w:div>
    <w:div w:id="1698240180">
      <w:bodyDiv w:val="1"/>
      <w:marLeft w:val="0"/>
      <w:marRight w:val="0"/>
      <w:marTop w:val="0"/>
      <w:marBottom w:val="0"/>
      <w:divBdr>
        <w:top w:val="none" w:sz="0" w:space="0" w:color="auto"/>
        <w:left w:val="none" w:sz="0" w:space="0" w:color="auto"/>
        <w:bottom w:val="none" w:sz="0" w:space="0" w:color="auto"/>
        <w:right w:val="none" w:sz="0" w:space="0" w:color="auto"/>
      </w:divBdr>
    </w:div>
    <w:div w:id="1963922318">
      <w:bodyDiv w:val="1"/>
      <w:marLeft w:val="0"/>
      <w:marRight w:val="0"/>
      <w:marTop w:val="0"/>
      <w:marBottom w:val="0"/>
      <w:divBdr>
        <w:top w:val="none" w:sz="0" w:space="0" w:color="auto"/>
        <w:left w:val="none" w:sz="0" w:space="0" w:color="auto"/>
        <w:bottom w:val="none" w:sz="0" w:space="0" w:color="auto"/>
        <w:right w:val="none" w:sz="0" w:space="0" w:color="auto"/>
      </w:divBdr>
    </w:div>
    <w:div w:id="2054577938">
      <w:bodyDiv w:val="1"/>
      <w:marLeft w:val="0"/>
      <w:marRight w:val="0"/>
      <w:marTop w:val="0"/>
      <w:marBottom w:val="0"/>
      <w:divBdr>
        <w:top w:val="none" w:sz="0" w:space="0" w:color="auto"/>
        <w:left w:val="none" w:sz="0" w:space="0" w:color="auto"/>
        <w:bottom w:val="none" w:sz="0" w:space="0" w:color="auto"/>
        <w:right w:val="none" w:sz="0" w:space="0" w:color="auto"/>
      </w:divBdr>
    </w:div>
    <w:div w:id="2138063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Entsoe">
      <a:dk1>
        <a:sysClr val="windowText" lastClr="000000"/>
      </a:dk1>
      <a:lt1>
        <a:sysClr val="window" lastClr="FFFFFF"/>
      </a:lt1>
      <a:dk2>
        <a:srgbClr val="23236E"/>
      </a:dk2>
      <a:lt2>
        <a:srgbClr val="636466"/>
      </a:lt2>
      <a:accent1>
        <a:srgbClr val="585C9F"/>
      </a:accent1>
      <a:accent2>
        <a:srgbClr val="797BB7"/>
      </a:accent2>
      <a:accent3>
        <a:srgbClr val="7F5A9B"/>
      </a:accent3>
      <a:accent4>
        <a:srgbClr val="B4B4C8"/>
      </a:accent4>
      <a:accent5>
        <a:srgbClr val="487BB4"/>
      </a:accent5>
      <a:accent6>
        <a:srgbClr val="9EBF57"/>
      </a:accent6>
      <a:hlink>
        <a:srgbClr val="0000FF"/>
      </a:hlink>
      <a:folHlink>
        <a:srgbClr val="800080"/>
      </a:folHlink>
    </a:clrScheme>
    <a:fontScheme name="Entsoe">
      <a:majorFont>
        <a:latin typeface="Arial"/>
        <a:ea typeface=""/>
        <a:cs typeface=""/>
      </a:majorFont>
      <a:minorFont>
        <a:latin typeface="Times New Roman"/>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ACER Decision" ma:contentTypeID="0x01010052A79D2CC0FF5B429ECF29711995508A00E4934363A9836B41B975541030C44BCA" ma:contentTypeVersion="6" ma:contentTypeDescription="ACER Decision Template" ma:contentTypeScope="" ma:versionID="8b96f49666156828bdeccfdcd74d75c6">
  <xsd:schema xmlns:xsd="http://www.w3.org/2001/XMLSchema" xmlns:xs="http://www.w3.org/2001/XMLSchema" xmlns:p="http://schemas.microsoft.com/office/2006/metadata/properties" xmlns:ns2="93ef63bf-cef1-4083-9157-77ac7c92663d" xmlns:ns3="d922e069-700e-480d-94a6-be6a437551cf" targetNamespace="http://schemas.microsoft.com/office/2006/metadata/properties" ma:root="true" ma:fieldsID="ba1eed795d1f58d1eb01dab1b60e538d" ns2:_="" ns3:_="">
    <xsd:import namespace="93ef63bf-cef1-4083-9157-77ac7c92663d"/>
    <xsd:import namespace="d922e069-700e-480d-94a6-be6a437551cf"/>
    <xsd:element name="properties">
      <xsd:complexType>
        <xsd:sequence>
          <xsd:element name="documentManagement">
            <xsd:complexType>
              <xsd:all>
                <xsd:element ref="ns2:_dlc_DocId" minOccurs="0"/>
                <xsd:element ref="ns2:_dlc_DocIdUrl" minOccurs="0"/>
                <xsd:element ref="ns2:_dlc_DocIdPersistId" minOccurs="0"/>
                <xsd:element ref="ns3:Abstract" minOccurs="0"/>
                <xsd:element ref="ns3:_x0077_dq0" minOccurs="0"/>
                <xsd:element ref="ns3:Chapter" minOccurs="0"/>
                <xsd:element ref="ns3: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ef63bf-cef1-4083-9157-77ac7c92663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922e069-700e-480d-94a6-be6a437551cf" elementFormDefault="qualified">
    <xsd:import namespace="http://schemas.microsoft.com/office/2006/documentManagement/types"/>
    <xsd:import namespace="http://schemas.microsoft.com/office/infopath/2007/PartnerControls"/>
    <xsd:element name="Abstract" ma:index="11" nillable="true" ma:displayName="Abstract" ma:description="Colum for file description. Do not use Title column because it interacts with MSOffice files" ma:internalName="Abstract">
      <xsd:simpleType>
        <xsd:restriction base="dms:Note"/>
      </xsd:simpleType>
    </xsd:element>
    <xsd:element name="_x0077_dq0" ma:index="12" nillable="true" ma:displayName="MMR version" ma:internalName="_x0077_dq0">
      <xsd:simpleType>
        <xsd:restriction base="dms:Text"/>
      </xsd:simpleType>
    </xsd:element>
    <xsd:element name="Chapter" ma:index="13" nillable="true" ma:displayName="Chapter" ma:default="Executive Summary" ma:format="Dropdown" ma:internalName="Chapter">
      <xsd:simpleType>
        <xsd:restriction base="dms:Choice">
          <xsd:enumeration value="Executive Summary"/>
          <xsd:enumeration value="Developments"/>
          <xsd:enumeration value="NTC"/>
          <xsd:enumeration value="70%"/>
          <xsd:enumeration value="Liquidity"/>
          <xsd:enumeration value="Balancing"/>
          <xsd:enumeration value="Flows"/>
        </xsd:restriction>
      </xsd:simpleType>
    </xsd:element>
    <xsd:element name="Document_x0020_Type" ma:index="14" nillable="true" ma:displayName="Document Type" ma:format="Dropdown" ma:internalName="Document_x0020_Type">
      <xsd:simpleType>
        <xsd:restriction base="dms:Choice">
          <xsd:enumeration value="Draft"/>
          <xsd:enumeration value="Data analysis"/>
          <xsd:enumeration value="Internal Team docum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hapter xmlns="d922e069-700e-480d-94a6-be6a437551cf">Executive Summary</Chapter>
    <_x0077_dq0 xmlns="d922e069-700e-480d-94a6-be6a437551cf" xsi:nil="true"/>
    <Document_x0020_Type xmlns="d922e069-700e-480d-94a6-be6a437551cf" xsi:nil="true"/>
    <Abstract xmlns="d922e069-700e-480d-94a6-be6a437551cf" xsi:nil="true"/>
    <_dlc_DocId xmlns="93ef63bf-cef1-4083-9157-77ac7c92663d">HAFWPDM4WXES-1905909703-636719</_dlc_DocId>
    <_dlc_DocIdUrl xmlns="93ef63bf-cef1-4083-9157-77ac7c92663d">
      <Url>http://s-intranet/_layouts/15/DocIdRedir.aspx?ID=HAFWPDM4WXES-1905909703-636719</Url>
      <Description>HAFWPDM4WXES-1905909703-636719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BDC49A-D3E4-4F5C-AAF1-63CDEEF2A2E4}">
  <ds:schemaRefs>
    <ds:schemaRef ds:uri="http://schemas.microsoft.com/sharepoint/events"/>
  </ds:schemaRefs>
</ds:datastoreItem>
</file>

<file path=customXml/itemProps2.xml><?xml version="1.0" encoding="utf-8"?>
<ds:datastoreItem xmlns:ds="http://schemas.openxmlformats.org/officeDocument/2006/customXml" ds:itemID="{7F9BA0FD-C90D-4B4C-9010-1FDE2C848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ef63bf-cef1-4083-9157-77ac7c92663d"/>
    <ds:schemaRef ds:uri="d922e069-700e-480d-94a6-be6a437551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DBDF45-B733-43AB-9C25-0C6DB660DE04}">
  <ds:schemaRefs>
    <ds:schemaRef ds:uri="http://purl.org/dc/elements/1.1/"/>
    <ds:schemaRef ds:uri="http://purl.org/dc/dcmitype/"/>
    <ds:schemaRef ds:uri="http://schemas.microsoft.com/office/infopath/2007/PartnerControls"/>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d922e069-700e-480d-94a6-be6a437551cf"/>
    <ds:schemaRef ds:uri="93ef63bf-cef1-4083-9157-77ac7c92663d"/>
    <ds:schemaRef ds:uri="http://purl.org/dc/terms/"/>
  </ds:schemaRefs>
</ds:datastoreItem>
</file>

<file path=customXml/itemProps4.xml><?xml version="1.0" encoding="utf-8"?>
<ds:datastoreItem xmlns:ds="http://schemas.openxmlformats.org/officeDocument/2006/customXml" ds:itemID="{A108791F-382D-47D1-B036-DFC2E548FD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6480</Words>
  <Characters>36937</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2020-06-10T15:10:00Z</dcterms:created>
  <dcterms:modified xsi:type="dcterms:W3CDTF">2020-06-10T15:14:00Z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0x01010052A79D2CC0FF5B429ECF29711995508A00E4934363A9836B41B975541030C44BCA</vt:lpwstr>
  </property>
  <property fmtid="{D5CDD505-2E9C-101B-9397-08002B2CF9AE}" pid="3" name="_dlc_DocIdItemGuid">
    <vt:lpwstr>d067163c-c850-4089-b196-f16b9377d954</vt:lpwstr>
  </property>
</Properties>
</file>